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360" w:lineRule="auto"/>
        <w:jc w:val="center"/>
        <w:rPr>
          <w:rFonts w:hint="eastAsia" w:ascii="宋体" w:hAnsi="宋体"/>
          <w:b/>
          <w:spacing w:val="20"/>
          <w:sz w:val="52"/>
          <w:szCs w:val="52"/>
        </w:rPr>
      </w:pPr>
      <w:r>
        <w:rPr>
          <w:rFonts w:hint="eastAsia" w:ascii="宋体" w:hAnsi="宋体"/>
          <w:b/>
          <w:spacing w:val="20"/>
          <w:sz w:val="52"/>
          <w:szCs w:val="52"/>
        </w:rPr>
        <w:t>医用气体设备安装工程</w:t>
      </w:r>
    </w:p>
    <w:p>
      <w:pPr>
        <w:adjustRightInd w:val="0"/>
        <w:snapToGrid w:val="0"/>
        <w:spacing w:line="360" w:lineRule="auto"/>
        <w:jc w:val="center"/>
        <w:rPr>
          <w:rFonts w:hint="eastAsia" w:ascii="宋体" w:hAnsi="宋体"/>
          <w:b/>
          <w:spacing w:val="20"/>
          <w:sz w:val="28"/>
          <w:szCs w:val="28"/>
        </w:rPr>
      </w:pPr>
    </w:p>
    <w:p>
      <w:pPr>
        <w:adjustRightInd w:val="0"/>
        <w:snapToGrid w:val="0"/>
        <w:spacing w:line="360" w:lineRule="auto"/>
        <w:jc w:val="center"/>
        <w:rPr>
          <w:rFonts w:hint="eastAsia" w:ascii="宋体" w:hAnsi="宋体"/>
          <w:b/>
          <w:spacing w:val="20"/>
          <w:sz w:val="28"/>
          <w:szCs w:val="28"/>
        </w:rPr>
      </w:pPr>
    </w:p>
    <w:p>
      <w:pPr>
        <w:adjustRightInd w:val="0"/>
        <w:snapToGrid w:val="0"/>
        <w:spacing w:line="360" w:lineRule="auto"/>
        <w:jc w:val="center"/>
        <w:rPr>
          <w:rFonts w:hint="eastAsia" w:ascii="宋体" w:hAnsi="宋体"/>
          <w:b/>
          <w:spacing w:val="20"/>
          <w:sz w:val="28"/>
          <w:szCs w:val="28"/>
        </w:rPr>
      </w:pPr>
    </w:p>
    <w:p>
      <w:pPr>
        <w:adjustRightInd w:val="0"/>
        <w:snapToGrid w:val="0"/>
        <w:spacing w:line="360" w:lineRule="auto"/>
        <w:jc w:val="center"/>
        <w:rPr>
          <w:rFonts w:hint="eastAsia" w:ascii="宋体" w:hAnsi="宋体"/>
          <w:b/>
          <w:spacing w:val="20"/>
          <w:sz w:val="28"/>
          <w:szCs w:val="28"/>
        </w:rPr>
      </w:pPr>
    </w:p>
    <w:p>
      <w:pPr>
        <w:adjustRightInd w:val="0"/>
        <w:snapToGrid w:val="0"/>
        <w:spacing w:line="360" w:lineRule="auto"/>
        <w:jc w:val="center"/>
        <w:rPr>
          <w:rFonts w:hint="eastAsia" w:ascii="宋体" w:hAnsi="宋体"/>
          <w:b/>
          <w:spacing w:val="20"/>
          <w:sz w:val="28"/>
          <w:szCs w:val="28"/>
        </w:rPr>
      </w:pPr>
    </w:p>
    <w:p>
      <w:pPr>
        <w:adjustRightInd w:val="0"/>
        <w:snapToGrid w:val="0"/>
        <w:spacing w:line="360" w:lineRule="auto"/>
        <w:jc w:val="center"/>
        <w:rPr>
          <w:rFonts w:hint="eastAsia" w:ascii="宋体" w:hAnsi="宋体"/>
          <w:b/>
          <w:spacing w:val="20"/>
          <w:sz w:val="28"/>
          <w:szCs w:val="28"/>
        </w:rPr>
      </w:pPr>
    </w:p>
    <w:p>
      <w:pPr>
        <w:adjustRightInd w:val="0"/>
        <w:snapToGrid w:val="0"/>
        <w:spacing w:line="360" w:lineRule="auto"/>
        <w:jc w:val="center"/>
        <w:rPr>
          <w:rFonts w:hint="eastAsia" w:ascii="宋体" w:hAnsi="宋体"/>
          <w:b/>
          <w:sz w:val="72"/>
          <w:szCs w:val="72"/>
        </w:rPr>
      </w:pPr>
      <w:r>
        <w:rPr>
          <w:rFonts w:hint="eastAsia" w:ascii="宋体" w:hAnsi="宋体"/>
          <w:b/>
          <w:sz w:val="72"/>
          <w:szCs w:val="72"/>
        </w:rPr>
        <w:t>安装合同书</w:t>
      </w:r>
    </w:p>
    <w:p>
      <w:pPr>
        <w:adjustRightInd w:val="0"/>
        <w:snapToGrid w:val="0"/>
        <w:spacing w:line="360" w:lineRule="auto"/>
        <w:jc w:val="center"/>
        <w:rPr>
          <w:rFonts w:hint="eastAsia" w:ascii="宋体" w:hAnsi="宋体"/>
          <w:b/>
          <w:sz w:val="28"/>
          <w:szCs w:val="28"/>
        </w:rPr>
      </w:pPr>
    </w:p>
    <w:p>
      <w:pPr>
        <w:adjustRightInd w:val="0"/>
        <w:snapToGrid w:val="0"/>
        <w:spacing w:line="360" w:lineRule="auto"/>
        <w:jc w:val="center"/>
        <w:rPr>
          <w:rFonts w:hint="eastAsia" w:ascii="宋体" w:hAnsi="宋体"/>
          <w:b/>
          <w:sz w:val="28"/>
          <w:szCs w:val="28"/>
        </w:rPr>
      </w:pPr>
    </w:p>
    <w:p>
      <w:pPr>
        <w:adjustRightInd w:val="0"/>
        <w:snapToGrid w:val="0"/>
        <w:spacing w:line="360" w:lineRule="auto"/>
        <w:jc w:val="center"/>
        <w:rPr>
          <w:rFonts w:hint="eastAsia" w:ascii="宋体" w:hAnsi="宋体"/>
          <w:b/>
          <w:sz w:val="28"/>
          <w:szCs w:val="28"/>
        </w:rPr>
      </w:pPr>
    </w:p>
    <w:p>
      <w:pPr>
        <w:adjustRightInd w:val="0"/>
        <w:snapToGrid w:val="0"/>
        <w:spacing w:line="360" w:lineRule="auto"/>
        <w:jc w:val="center"/>
        <w:rPr>
          <w:rFonts w:hint="eastAsia" w:ascii="宋体" w:hAnsi="宋体"/>
          <w:b/>
          <w:sz w:val="28"/>
          <w:szCs w:val="28"/>
        </w:rPr>
      </w:pPr>
    </w:p>
    <w:p>
      <w:pPr>
        <w:adjustRightInd w:val="0"/>
        <w:snapToGrid w:val="0"/>
        <w:spacing w:line="360" w:lineRule="auto"/>
        <w:rPr>
          <w:rFonts w:hint="eastAsia" w:ascii="宋体" w:hAnsi="宋体"/>
          <w:b/>
          <w:sz w:val="28"/>
          <w:szCs w:val="28"/>
        </w:rPr>
      </w:pPr>
    </w:p>
    <w:p>
      <w:pPr>
        <w:adjustRightInd w:val="0"/>
        <w:snapToGrid w:val="0"/>
        <w:spacing w:line="360" w:lineRule="auto"/>
        <w:jc w:val="center"/>
        <w:rPr>
          <w:rFonts w:hint="eastAsia" w:ascii="宋体" w:hAnsi="宋体"/>
          <w:b/>
          <w:sz w:val="28"/>
          <w:szCs w:val="28"/>
        </w:rPr>
      </w:pPr>
    </w:p>
    <w:p>
      <w:pPr>
        <w:adjustRightInd w:val="0"/>
        <w:snapToGrid w:val="0"/>
        <w:spacing w:line="480" w:lineRule="auto"/>
        <w:rPr>
          <w:rFonts w:hint="eastAsia" w:ascii="宋体" w:hAnsi="宋体"/>
          <w:b/>
          <w:sz w:val="28"/>
        </w:rPr>
      </w:pPr>
    </w:p>
    <w:p>
      <w:pPr>
        <w:adjustRightInd w:val="0"/>
        <w:snapToGrid w:val="0"/>
        <w:spacing w:line="480" w:lineRule="auto"/>
        <w:ind w:firstLine="138" w:firstLineChars="49"/>
        <w:jc w:val="center"/>
        <w:rPr>
          <w:rFonts w:hint="eastAsia" w:ascii="宋体" w:hAnsi="宋体"/>
          <w:b/>
          <w:sz w:val="28"/>
        </w:rPr>
      </w:pPr>
      <w:r>
        <w:rPr>
          <w:rFonts w:hint="eastAsia" w:ascii="宋体" w:hAnsi="宋体"/>
          <w:b/>
          <w:sz w:val="28"/>
        </w:rPr>
        <w:t>签订日期：二○一五年    月     日</w:t>
      </w:r>
    </w:p>
    <w:p>
      <w:pPr>
        <w:snapToGrid w:val="0"/>
        <w:spacing w:line="500" w:lineRule="exact"/>
        <w:rPr>
          <w:rFonts w:hint="eastAsia" w:ascii="宋体" w:hAnsi="宋体"/>
          <w:b/>
          <w:sz w:val="44"/>
          <w:szCs w:val="44"/>
        </w:rPr>
      </w:pPr>
    </w:p>
    <w:p>
      <w:pPr>
        <w:snapToGrid w:val="0"/>
        <w:spacing w:line="500" w:lineRule="exact"/>
        <w:jc w:val="center"/>
        <w:rPr>
          <w:rFonts w:hint="eastAsia" w:ascii="宋体" w:hAnsi="宋体"/>
          <w:b/>
          <w:sz w:val="44"/>
          <w:szCs w:val="44"/>
        </w:rPr>
      </w:pPr>
    </w:p>
    <w:p>
      <w:pPr>
        <w:snapToGrid w:val="0"/>
        <w:spacing w:line="500" w:lineRule="exact"/>
        <w:jc w:val="center"/>
        <w:rPr>
          <w:rFonts w:hint="eastAsia" w:ascii="宋体" w:hAnsi="宋体"/>
          <w:b/>
          <w:sz w:val="44"/>
          <w:szCs w:val="44"/>
        </w:rPr>
      </w:pPr>
    </w:p>
    <w:p>
      <w:pPr>
        <w:snapToGrid w:val="0"/>
        <w:spacing w:line="500" w:lineRule="exact"/>
        <w:jc w:val="center"/>
        <w:rPr>
          <w:rFonts w:hint="eastAsia" w:ascii="宋体" w:hAnsi="宋体"/>
          <w:b/>
          <w:sz w:val="44"/>
          <w:szCs w:val="44"/>
        </w:rPr>
      </w:pPr>
    </w:p>
    <w:p>
      <w:pPr>
        <w:snapToGrid w:val="0"/>
        <w:spacing w:line="500" w:lineRule="exact"/>
        <w:jc w:val="center"/>
        <w:rPr>
          <w:rFonts w:hint="eastAsia" w:ascii="宋体" w:hAnsi="宋体"/>
          <w:b/>
          <w:sz w:val="44"/>
          <w:szCs w:val="44"/>
        </w:rPr>
      </w:pPr>
    </w:p>
    <w:p>
      <w:pPr>
        <w:snapToGrid w:val="0"/>
        <w:spacing w:line="500" w:lineRule="exact"/>
        <w:jc w:val="center"/>
        <w:rPr>
          <w:rFonts w:hint="eastAsia" w:ascii="宋体" w:hAnsi="宋体"/>
          <w:b/>
          <w:sz w:val="44"/>
          <w:szCs w:val="44"/>
        </w:rPr>
      </w:pPr>
      <w:bookmarkStart w:id="1" w:name="_GoBack"/>
    </w:p>
    <w:p>
      <w:pPr>
        <w:snapToGrid w:val="0"/>
        <w:spacing w:line="500" w:lineRule="exact"/>
        <w:jc w:val="center"/>
        <w:rPr>
          <w:rFonts w:hint="eastAsia" w:ascii="宋体" w:hAnsi="宋体"/>
          <w:b/>
          <w:sz w:val="44"/>
          <w:szCs w:val="44"/>
        </w:rPr>
      </w:pPr>
    </w:p>
    <w:bookmarkEnd w:id="1"/>
    <w:p>
      <w:pPr>
        <w:snapToGrid w:val="0"/>
        <w:spacing w:line="500" w:lineRule="exact"/>
        <w:jc w:val="center"/>
        <w:rPr>
          <w:rFonts w:hint="eastAsia" w:ascii="宋体" w:hAnsi="宋体"/>
          <w:b/>
          <w:sz w:val="44"/>
          <w:szCs w:val="44"/>
        </w:rPr>
      </w:pPr>
    </w:p>
    <w:p>
      <w:pPr>
        <w:snapToGrid w:val="0"/>
        <w:spacing w:line="500" w:lineRule="exact"/>
        <w:jc w:val="center"/>
        <w:rPr>
          <w:rFonts w:hint="eastAsia" w:ascii="宋体" w:hAnsi="宋体"/>
          <w:b/>
          <w:sz w:val="44"/>
          <w:szCs w:val="44"/>
        </w:rPr>
      </w:pPr>
      <w:r>
        <w:rPr>
          <w:rFonts w:hint="eastAsia" w:ascii="宋体" w:hAnsi="宋体"/>
          <w:b/>
          <w:sz w:val="44"/>
          <w:szCs w:val="44"/>
        </w:rPr>
        <w:t>合   同</w:t>
      </w:r>
    </w:p>
    <w:p>
      <w:pPr>
        <w:snapToGrid w:val="0"/>
        <w:spacing w:line="500" w:lineRule="exact"/>
        <w:jc w:val="left"/>
        <w:rPr>
          <w:rFonts w:hint="eastAsia" w:ascii="宋体" w:hAnsi="宋体"/>
          <w:szCs w:val="21"/>
        </w:rPr>
      </w:pPr>
    </w:p>
    <w:p>
      <w:pPr>
        <w:snapToGrid w:val="0"/>
        <w:spacing w:line="500" w:lineRule="exact"/>
        <w:jc w:val="left"/>
        <w:rPr>
          <w:rFonts w:hint="eastAsia" w:ascii="宋体" w:hAnsi="宋体"/>
          <w:sz w:val="24"/>
        </w:rPr>
      </w:pPr>
      <w:r>
        <w:rPr>
          <w:rFonts w:hint="eastAsia" w:ascii="宋体" w:hAnsi="宋体"/>
          <w:sz w:val="24"/>
        </w:rPr>
        <w:t xml:space="preserve">甲方：   </w:t>
      </w:r>
    </w:p>
    <w:p>
      <w:pPr>
        <w:snapToGrid w:val="0"/>
        <w:spacing w:line="500" w:lineRule="exact"/>
        <w:rPr>
          <w:rFonts w:hint="eastAsia" w:ascii="宋体" w:hAnsi="宋体"/>
          <w:sz w:val="24"/>
        </w:rPr>
      </w:pPr>
      <w:r>
        <w:rPr>
          <w:rFonts w:hint="eastAsia" w:ascii="宋体" w:hAnsi="宋体"/>
          <w:sz w:val="24"/>
        </w:rPr>
        <w:t>乙方：</w:t>
      </w:r>
    </w:p>
    <w:p>
      <w:pPr>
        <w:snapToGrid w:val="0"/>
        <w:spacing w:line="500" w:lineRule="exact"/>
        <w:ind w:firstLine="480" w:firstLineChars="200"/>
        <w:rPr>
          <w:rFonts w:hint="eastAsia"/>
          <w:sz w:val="24"/>
        </w:rPr>
      </w:pPr>
      <w:r>
        <w:rPr>
          <w:rFonts w:hint="eastAsia"/>
          <w:sz w:val="24"/>
        </w:rPr>
        <w:t>甲乙双方就货物的供应及相关服务，根据《中华人民共和国合同法》，经双方协商一致，共同达成如下条款：</w:t>
      </w:r>
      <w:bookmarkStart w:id="0" w:name="_Toc275291289"/>
    </w:p>
    <w:p>
      <w:pPr>
        <w:snapToGrid w:val="0"/>
        <w:spacing w:line="500" w:lineRule="exact"/>
        <w:ind w:firstLine="482" w:firstLineChars="200"/>
        <w:rPr>
          <w:rFonts w:hint="eastAsia"/>
          <w:b/>
          <w:sz w:val="24"/>
        </w:rPr>
      </w:pPr>
      <w:r>
        <w:rPr>
          <w:rFonts w:hint="eastAsia"/>
          <w:b/>
          <w:sz w:val="24"/>
        </w:rPr>
        <w:t>1.  合同设备</w:t>
      </w:r>
    </w:p>
    <w:p>
      <w:pPr>
        <w:snapToGrid w:val="0"/>
        <w:spacing w:line="500" w:lineRule="exact"/>
        <w:ind w:firstLine="480" w:firstLineChars="200"/>
        <w:rPr>
          <w:rFonts w:hint="eastAsia"/>
          <w:sz w:val="24"/>
        </w:rPr>
      </w:pPr>
      <w:r>
        <w:rPr>
          <w:rFonts w:hint="eastAsia"/>
          <w:sz w:val="24"/>
        </w:rPr>
        <w:t>乙方负责向甲方供应下表中所列设备及负责安装调试。（后附清单）</w:t>
      </w:r>
    </w:p>
    <w:p>
      <w:pPr>
        <w:snapToGrid w:val="0"/>
        <w:spacing w:line="500" w:lineRule="exact"/>
        <w:ind w:firstLine="482" w:firstLineChars="200"/>
        <w:rPr>
          <w:rFonts w:hint="eastAsia"/>
          <w:b/>
          <w:sz w:val="24"/>
        </w:rPr>
      </w:pPr>
      <w:r>
        <w:rPr>
          <w:rFonts w:hint="eastAsia"/>
          <w:b/>
          <w:sz w:val="24"/>
        </w:rPr>
        <w:t>2.  合同总价</w:t>
      </w:r>
    </w:p>
    <w:p>
      <w:pPr>
        <w:snapToGrid w:val="0"/>
        <w:spacing w:line="500" w:lineRule="exact"/>
        <w:ind w:firstLine="480" w:firstLineChars="200"/>
        <w:rPr>
          <w:rFonts w:hint="eastAsia"/>
          <w:sz w:val="24"/>
        </w:rPr>
      </w:pPr>
      <w:r>
        <w:rPr>
          <w:rFonts w:hint="eastAsia"/>
          <w:sz w:val="24"/>
        </w:rPr>
        <w:t>总价为：</w:t>
      </w:r>
      <w:r>
        <w:rPr>
          <w:rFonts w:hint="eastAsia" w:ascii="宋体" w:hAnsi="宋体"/>
          <w:bCs/>
          <w:sz w:val="24"/>
          <w:u w:val="single"/>
        </w:rPr>
        <w:t xml:space="preserve">            </w:t>
      </w:r>
      <w:r>
        <w:rPr>
          <w:rFonts w:hint="eastAsia"/>
          <w:sz w:val="24"/>
        </w:rPr>
        <w:t>（大写） ，即RMB￥</w:t>
      </w:r>
      <w:r>
        <w:rPr>
          <w:rFonts w:hint="eastAsia"/>
          <w:bCs/>
          <w:sz w:val="24"/>
          <w:u w:val="single"/>
        </w:rPr>
        <w:t xml:space="preserve">          </w:t>
      </w:r>
      <w:r>
        <w:rPr>
          <w:rFonts w:hint="eastAsia"/>
          <w:sz w:val="24"/>
        </w:rPr>
        <w:t>元，该合同总金额是设计、设备制造、包装、仓储、运输、安装及验收合格之前及保修期间包括备品备件发生的所有含税费用。当工程完工后，多出工程量按投标单价对增加工程量进行结算。如实际工程量小于投标工程量时，根据投标单价对实际工程量进行结算。</w:t>
      </w:r>
    </w:p>
    <w:p>
      <w:pPr>
        <w:snapToGrid w:val="0"/>
        <w:spacing w:line="500" w:lineRule="exact"/>
        <w:ind w:firstLine="482" w:firstLineChars="200"/>
        <w:rPr>
          <w:rFonts w:hint="eastAsia"/>
          <w:b/>
          <w:sz w:val="24"/>
        </w:rPr>
      </w:pPr>
      <w:r>
        <w:rPr>
          <w:rFonts w:hint="eastAsia"/>
          <w:b/>
          <w:sz w:val="24"/>
        </w:rPr>
        <w:t>3.  合同组成</w:t>
      </w:r>
    </w:p>
    <w:p>
      <w:pPr>
        <w:snapToGrid w:val="0"/>
        <w:spacing w:line="500" w:lineRule="exact"/>
        <w:ind w:firstLine="480" w:firstLineChars="200"/>
        <w:rPr>
          <w:rFonts w:hint="eastAsia"/>
          <w:sz w:val="24"/>
        </w:rPr>
      </w:pPr>
      <w:r>
        <w:rPr>
          <w:rFonts w:hint="eastAsia"/>
          <w:sz w:val="24"/>
        </w:rPr>
        <w:t>详细价格、技术说明及其它有关合同设备的特定信息由合同附件说明。所有附件及本项目的招投标文件、会议纪要、协议、澄清等均为本合同不可分割之一部分。</w:t>
      </w:r>
    </w:p>
    <w:p>
      <w:pPr>
        <w:snapToGrid w:val="0"/>
        <w:spacing w:line="500" w:lineRule="exact"/>
        <w:ind w:firstLine="482" w:firstLineChars="200"/>
        <w:rPr>
          <w:rFonts w:hint="eastAsia"/>
          <w:b/>
          <w:sz w:val="24"/>
        </w:rPr>
      </w:pPr>
      <w:r>
        <w:rPr>
          <w:rFonts w:hint="eastAsia"/>
          <w:b/>
          <w:sz w:val="24"/>
        </w:rPr>
        <w:t>4.  技术要求</w:t>
      </w:r>
    </w:p>
    <w:p>
      <w:pPr>
        <w:snapToGrid w:val="0"/>
        <w:spacing w:line="500" w:lineRule="exact"/>
        <w:ind w:firstLine="480" w:firstLineChars="200"/>
        <w:rPr>
          <w:rFonts w:hint="eastAsia"/>
          <w:sz w:val="24"/>
        </w:rPr>
      </w:pPr>
      <w:r>
        <w:rPr>
          <w:rFonts w:hint="eastAsia"/>
          <w:sz w:val="24"/>
        </w:rPr>
        <w:t>乙方所提供设备，必须符合国家有关规范和环保要求及甲方的技术要求，并提供设备的检测报告。</w:t>
      </w:r>
    </w:p>
    <w:p>
      <w:pPr>
        <w:snapToGrid w:val="0"/>
        <w:spacing w:line="500" w:lineRule="exact"/>
        <w:ind w:firstLine="482" w:firstLineChars="200"/>
        <w:rPr>
          <w:rFonts w:hint="eastAsia"/>
          <w:b/>
          <w:sz w:val="24"/>
        </w:rPr>
      </w:pPr>
      <w:r>
        <w:rPr>
          <w:rFonts w:hint="eastAsia"/>
          <w:b/>
          <w:sz w:val="24"/>
        </w:rPr>
        <w:t>5.  合同设备包装、交货、安装及验收</w:t>
      </w:r>
    </w:p>
    <w:p>
      <w:pPr>
        <w:snapToGrid w:val="0"/>
        <w:spacing w:line="500" w:lineRule="exact"/>
        <w:ind w:firstLine="480" w:firstLineChars="200"/>
        <w:rPr>
          <w:rFonts w:hint="eastAsia"/>
          <w:sz w:val="24"/>
        </w:rPr>
      </w:pPr>
      <w:r>
        <w:rPr>
          <w:rFonts w:hint="eastAsia"/>
          <w:sz w:val="24"/>
        </w:rPr>
        <w:t>5.1 合同设备的包装</w:t>
      </w:r>
    </w:p>
    <w:p>
      <w:pPr>
        <w:snapToGrid w:val="0"/>
        <w:spacing w:line="500" w:lineRule="exact"/>
        <w:ind w:firstLine="480" w:firstLineChars="200"/>
        <w:rPr>
          <w:rFonts w:hint="eastAsia"/>
          <w:sz w:val="24"/>
        </w:rPr>
      </w:pPr>
      <w:r>
        <w:rPr>
          <w:rFonts w:hint="eastAsia"/>
          <w:sz w:val="24"/>
        </w:rPr>
        <w:t>设备的包装均应有良好的防湿、防锈、防潮、防雨、防腐及防碰撞的措施。凡由于包装不良造成的损失和由此产生的费用均由乙方承担。</w:t>
      </w:r>
    </w:p>
    <w:p>
      <w:pPr>
        <w:snapToGrid w:val="0"/>
        <w:spacing w:line="500" w:lineRule="exact"/>
        <w:ind w:firstLine="480" w:firstLineChars="200"/>
        <w:rPr>
          <w:rFonts w:hint="eastAsia"/>
          <w:sz w:val="24"/>
        </w:rPr>
      </w:pPr>
      <w:r>
        <w:rPr>
          <w:rFonts w:hint="eastAsia"/>
          <w:sz w:val="24"/>
        </w:rPr>
        <w:t>5.2合同设备的交货</w:t>
      </w:r>
    </w:p>
    <w:p>
      <w:pPr>
        <w:snapToGrid w:val="0"/>
        <w:spacing w:line="500" w:lineRule="exact"/>
        <w:ind w:firstLine="480" w:firstLineChars="200"/>
        <w:rPr>
          <w:rFonts w:hint="eastAsia"/>
          <w:sz w:val="24"/>
        </w:rPr>
      </w:pPr>
      <w:r>
        <w:rPr>
          <w:rFonts w:hint="eastAsia"/>
          <w:sz w:val="24"/>
        </w:rPr>
        <w:t>5.2.1乙方交货时间：根据基建总包提供交付安装场地时间起计算30个工作日完成。若其他情况影响，时间顺延。</w:t>
      </w:r>
    </w:p>
    <w:p>
      <w:pPr>
        <w:snapToGrid w:val="0"/>
        <w:spacing w:line="500" w:lineRule="exact"/>
        <w:ind w:firstLine="480" w:firstLineChars="200"/>
        <w:rPr>
          <w:rFonts w:hint="eastAsia"/>
          <w:sz w:val="24"/>
        </w:rPr>
      </w:pPr>
      <w:r>
        <w:rPr>
          <w:rFonts w:hint="eastAsia"/>
          <w:sz w:val="24"/>
        </w:rPr>
        <w:t>5.2.2乙方交货地点：运输及卸车至甲方指定地点。</w:t>
      </w:r>
    </w:p>
    <w:p>
      <w:pPr>
        <w:snapToGrid w:val="0"/>
        <w:spacing w:line="500" w:lineRule="exact"/>
        <w:ind w:firstLine="480" w:firstLineChars="200"/>
        <w:rPr>
          <w:rFonts w:hint="eastAsia"/>
          <w:sz w:val="24"/>
        </w:rPr>
      </w:pPr>
      <w:r>
        <w:rPr>
          <w:rFonts w:hint="eastAsia"/>
          <w:sz w:val="24"/>
        </w:rPr>
        <w:t>5.3合同设备的安装</w:t>
      </w:r>
    </w:p>
    <w:p>
      <w:pPr>
        <w:snapToGrid w:val="0"/>
        <w:spacing w:line="500" w:lineRule="exact"/>
        <w:ind w:firstLine="480" w:firstLineChars="200"/>
        <w:rPr>
          <w:rFonts w:hint="eastAsia"/>
          <w:sz w:val="24"/>
        </w:rPr>
      </w:pPr>
      <w:r>
        <w:rPr>
          <w:rFonts w:hint="eastAsia"/>
          <w:sz w:val="24"/>
        </w:rPr>
        <w:t>5.3.1 乙方负责合同项下的安装，一切费用由乙方负责。</w:t>
      </w:r>
    </w:p>
    <w:p>
      <w:pPr>
        <w:snapToGrid w:val="0"/>
        <w:spacing w:line="500" w:lineRule="exact"/>
        <w:ind w:firstLine="480" w:firstLineChars="200"/>
        <w:rPr>
          <w:rFonts w:hint="eastAsia"/>
          <w:sz w:val="24"/>
        </w:rPr>
      </w:pPr>
      <w:r>
        <w:rPr>
          <w:rFonts w:hint="eastAsia"/>
          <w:sz w:val="24"/>
        </w:rPr>
        <w:t>5.3.2乙方安装时须对各安装场地内的其他设备、设施有良好保护措施。</w:t>
      </w:r>
    </w:p>
    <w:p>
      <w:pPr>
        <w:snapToGrid w:val="0"/>
        <w:spacing w:line="500" w:lineRule="exact"/>
        <w:ind w:firstLine="480" w:firstLineChars="200"/>
        <w:rPr>
          <w:rFonts w:hint="eastAsia"/>
          <w:sz w:val="24"/>
        </w:rPr>
      </w:pPr>
      <w:r>
        <w:rPr>
          <w:rFonts w:hint="eastAsia"/>
          <w:sz w:val="24"/>
        </w:rPr>
        <w:t>5.4设备的验收</w:t>
      </w:r>
    </w:p>
    <w:p>
      <w:pPr>
        <w:snapToGrid w:val="0"/>
        <w:spacing w:line="500" w:lineRule="exact"/>
        <w:ind w:firstLine="480" w:firstLineChars="200"/>
        <w:rPr>
          <w:rFonts w:hint="eastAsia"/>
          <w:sz w:val="24"/>
        </w:rPr>
      </w:pPr>
      <w:r>
        <w:rPr>
          <w:rFonts w:hint="eastAsia"/>
          <w:sz w:val="24"/>
        </w:rPr>
        <w:t>5.4.1合同设备安装完成后  5 个工作日内验收，验收应在甲乙双方共同参加下进行。</w:t>
      </w:r>
    </w:p>
    <w:p>
      <w:pPr>
        <w:snapToGrid w:val="0"/>
        <w:spacing w:line="500" w:lineRule="exact"/>
        <w:ind w:firstLine="480" w:firstLineChars="200"/>
        <w:rPr>
          <w:rFonts w:hint="eastAsia"/>
          <w:sz w:val="24"/>
        </w:rPr>
      </w:pPr>
      <w:r>
        <w:rPr>
          <w:rFonts w:hint="eastAsia"/>
          <w:sz w:val="24"/>
        </w:rPr>
        <w:t>5.4.2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pPr>
        <w:snapToGrid w:val="0"/>
        <w:spacing w:line="500" w:lineRule="exact"/>
        <w:ind w:firstLine="480" w:firstLineChars="200"/>
        <w:rPr>
          <w:rFonts w:hint="eastAsia"/>
          <w:sz w:val="24"/>
        </w:rPr>
      </w:pPr>
      <w:r>
        <w:rPr>
          <w:rFonts w:hint="eastAsia"/>
          <w:sz w:val="24"/>
        </w:rPr>
        <w:t>5.4.3如果合同设备运输和安装过程中因事故造成货物短缺、损坏，乙方应及时安排换装，以保证合同设备安装的成功完成。换货的相关费用由乙方承担。</w:t>
      </w:r>
    </w:p>
    <w:p>
      <w:pPr>
        <w:snapToGrid w:val="0"/>
        <w:spacing w:line="500" w:lineRule="exact"/>
        <w:ind w:firstLine="480" w:firstLineChars="200"/>
        <w:rPr>
          <w:rFonts w:hint="eastAsia"/>
          <w:sz w:val="24"/>
        </w:rPr>
      </w:pPr>
      <w:r>
        <w:rPr>
          <w:rFonts w:hint="eastAsia"/>
          <w:sz w:val="24"/>
        </w:rPr>
        <w:t>5.5乙方保证合同项下提供的设备不侵犯任何第三方的专利、商标或版权。否则，乙方须承担对第三方的专利或版权的侵权责任并承担因此而发生的所有费用。</w:t>
      </w:r>
    </w:p>
    <w:p>
      <w:pPr>
        <w:snapToGrid w:val="0"/>
        <w:spacing w:line="500" w:lineRule="exact"/>
        <w:ind w:firstLine="482" w:firstLineChars="200"/>
        <w:rPr>
          <w:rFonts w:hint="eastAsia"/>
          <w:b/>
          <w:sz w:val="24"/>
        </w:rPr>
      </w:pPr>
      <w:r>
        <w:rPr>
          <w:rFonts w:hint="eastAsia"/>
          <w:b/>
          <w:sz w:val="24"/>
        </w:rPr>
        <w:t>6. 质量保证及售后服务</w:t>
      </w:r>
    </w:p>
    <w:p>
      <w:pPr>
        <w:snapToGrid w:val="0"/>
        <w:spacing w:line="500" w:lineRule="exact"/>
        <w:ind w:firstLine="480" w:firstLineChars="200"/>
        <w:rPr>
          <w:rFonts w:hint="eastAsia"/>
          <w:sz w:val="24"/>
        </w:rPr>
      </w:pPr>
      <w:r>
        <w:rPr>
          <w:rFonts w:hint="eastAsia"/>
          <w:sz w:val="24"/>
        </w:rPr>
        <w:t>6.1乙方保证合同设备是全新、未曾使用过的，其质量、规格及技术特征符合合同附件的要求。</w:t>
      </w:r>
    </w:p>
    <w:p>
      <w:pPr>
        <w:snapToGrid w:val="0"/>
        <w:spacing w:line="500" w:lineRule="exact"/>
        <w:ind w:firstLine="480" w:firstLineChars="200"/>
        <w:rPr>
          <w:rFonts w:hint="eastAsia"/>
          <w:sz w:val="24"/>
        </w:rPr>
      </w:pPr>
      <w:r>
        <w:rPr>
          <w:rFonts w:hint="eastAsia"/>
          <w:sz w:val="24"/>
        </w:rPr>
        <w:t>6.2合同设备保质保用期为本项目有关部门验收签字之日起1年。</w:t>
      </w:r>
    </w:p>
    <w:p>
      <w:pPr>
        <w:snapToGrid w:val="0"/>
        <w:spacing w:line="500" w:lineRule="exact"/>
        <w:ind w:firstLine="480" w:firstLineChars="200"/>
        <w:rPr>
          <w:rFonts w:hint="eastAsia"/>
          <w:sz w:val="24"/>
        </w:rPr>
      </w:pPr>
      <w:r>
        <w:rPr>
          <w:rFonts w:hint="eastAsia"/>
          <w:sz w:val="24"/>
        </w:rPr>
        <w:t>保质保用期内非因甲方的人为原因而出现产品质量及安装问题，由乙方负责包修、包换或包退，并承担因此而产生的一切费用。乙方应在收到甲方通知后按照甲方要求派员到现场维修。</w:t>
      </w:r>
    </w:p>
    <w:p>
      <w:pPr>
        <w:snapToGrid w:val="0"/>
        <w:spacing w:line="500" w:lineRule="exact"/>
        <w:ind w:firstLine="480" w:firstLineChars="200"/>
        <w:rPr>
          <w:rFonts w:hint="eastAsia"/>
          <w:sz w:val="24"/>
        </w:rPr>
      </w:pPr>
      <w:r>
        <w:rPr>
          <w:rFonts w:hint="eastAsia"/>
          <w:sz w:val="24"/>
        </w:rPr>
        <w:t>下列情况乙方不负责免费保修：</w:t>
      </w:r>
    </w:p>
    <w:p>
      <w:pPr>
        <w:snapToGrid w:val="0"/>
        <w:spacing w:line="500" w:lineRule="exact"/>
        <w:ind w:firstLine="480" w:firstLineChars="200"/>
        <w:rPr>
          <w:rFonts w:hint="eastAsia"/>
          <w:sz w:val="24"/>
        </w:rPr>
      </w:pPr>
      <w:r>
        <w:rPr>
          <w:rFonts w:hint="eastAsia"/>
          <w:sz w:val="24"/>
        </w:rPr>
        <w:t>(１)</w:t>
      </w:r>
      <w:r>
        <w:rPr>
          <w:rFonts w:hint="eastAsia"/>
          <w:sz w:val="24"/>
        </w:rPr>
        <w:tab/>
      </w:r>
      <w:r>
        <w:rPr>
          <w:rFonts w:hint="eastAsia"/>
          <w:sz w:val="24"/>
        </w:rPr>
        <w:t>不按照乙方提供的正确使用方法而引致设备故障损坏；</w:t>
      </w:r>
    </w:p>
    <w:p>
      <w:pPr>
        <w:snapToGrid w:val="0"/>
        <w:spacing w:line="500" w:lineRule="exact"/>
        <w:ind w:firstLine="480" w:firstLineChars="200"/>
        <w:rPr>
          <w:rFonts w:hint="eastAsia"/>
          <w:sz w:val="24"/>
        </w:rPr>
      </w:pPr>
      <w:r>
        <w:rPr>
          <w:rFonts w:hint="eastAsia"/>
          <w:sz w:val="24"/>
        </w:rPr>
        <w:t>(２)</w:t>
      </w:r>
      <w:r>
        <w:rPr>
          <w:rFonts w:hint="eastAsia"/>
          <w:sz w:val="24"/>
        </w:rPr>
        <w:tab/>
      </w:r>
      <w:r>
        <w:rPr>
          <w:rFonts w:hint="eastAsia"/>
          <w:sz w:val="24"/>
        </w:rPr>
        <w:t>擅自改装设备；</w:t>
      </w:r>
    </w:p>
    <w:p>
      <w:pPr>
        <w:snapToGrid w:val="0"/>
        <w:spacing w:line="500" w:lineRule="exact"/>
        <w:ind w:firstLine="480" w:firstLineChars="200"/>
        <w:rPr>
          <w:rFonts w:hint="eastAsia"/>
          <w:sz w:val="24"/>
        </w:rPr>
      </w:pPr>
      <w:r>
        <w:rPr>
          <w:rFonts w:hint="eastAsia"/>
          <w:sz w:val="24"/>
        </w:rPr>
        <w:t>6.3</w:t>
      </w:r>
      <w:r>
        <w:rPr>
          <w:rFonts w:hint="eastAsia"/>
          <w:sz w:val="24"/>
        </w:rPr>
        <w:tab/>
      </w:r>
      <w:r>
        <w:rPr>
          <w:rFonts w:hint="eastAsia"/>
          <w:sz w:val="24"/>
        </w:rPr>
        <w:t>因设备的质量问题而发生争议，由广东省质检部门进行质量鉴定。设备符合质量标准的，鉴定费用由甲方承担；设备不符合质量标准的，鉴定费用由乙方承担。</w:t>
      </w:r>
    </w:p>
    <w:p>
      <w:pPr>
        <w:snapToGrid w:val="0"/>
        <w:spacing w:line="500" w:lineRule="exact"/>
        <w:ind w:firstLine="480" w:firstLineChars="200"/>
        <w:rPr>
          <w:rFonts w:hint="eastAsia"/>
          <w:sz w:val="24"/>
        </w:rPr>
      </w:pPr>
      <w:r>
        <w:rPr>
          <w:rFonts w:hint="eastAsia"/>
          <w:sz w:val="24"/>
        </w:rPr>
        <w:t>6.4乙方无偿培训甲方维修人员，主要内容为设备的基本结构、性能、主要部件的构造及修理，日常使用保养与管理，常见故障的排除，紧急情况的处理等，培训地点主要在设备安装现场或按甲方安排。</w:t>
      </w:r>
    </w:p>
    <w:p>
      <w:pPr>
        <w:snapToGrid w:val="0"/>
        <w:spacing w:line="500" w:lineRule="exact"/>
        <w:ind w:firstLine="482" w:firstLineChars="200"/>
        <w:rPr>
          <w:rFonts w:hint="eastAsia"/>
          <w:b/>
          <w:sz w:val="24"/>
        </w:rPr>
      </w:pPr>
      <w:r>
        <w:rPr>
          <w:rFonts w:hint="eastAsia"/>
          <w:b/>
          <w:sz w:val="24"/>
        </w:rPr>
        <w:t>7. 付款办法</w:t>
      </w:r>
    </w:p>
    <w:p>
      <w:pPr>
        <w:snapToGrid w:val="0"/>
        <w:spacing w:line="500" w:lineRule="exact"/>
        <w:ind w:firstLine="480" w:firstLineChars="200"/>
        <w:rPr>
          <w:rFonts w:hint="eastAsia"/>
          <w:sz w:val="24"/>
        </w:rPr>
      </w:pPr>
      <w:r>
        <w:rPr>
          <w:rFonts w:hint="eastAsia"/>
          <w:sz w:val="24"/>
        </w:rPr>
        <w:t>7.1合同签订后预付30%工程款；</w:t>
      </w:r>
    </w:p>
    <w:p>
      <w:pPr>
        <w:snapToGrid w:val="0"/>
        <w:spacing w:line="500" w:lineRule="exact"/>
        <w:ind w:firstLine="480" w:firstLineChars="200"/>
        <w:rPr>
          <w:rFonts w:hint="eastAsia"/>
          <w:sz w:val="24"/>
        </w:rPr>
      </w:pPr>
      <w:r>
        <w:rPr>
          <w:rFonts w:hint="eastAsia"/>
          <w:sz w:val="24"/>
        </w:rPr>
        <w:t>7.2工程验收合格后七天内支付至工程款的95%；</w:t>
      </w:r>
    </w:p>
    <w:p>
      <w:pPr>
        <w:snapToGrid w:val="0"/>
        <w:spacing w:line="500" w:lineRule="exact"/>
        <w:ind w:firstLine="480" w:firstLineChars="200"/>
        <w:rPr>
          <w:rFonts w:hint="eastAsia"/>
          <w:sz w:val="24"/>
        </w:rPr>
      </w:pPr>
      <w:r>
        <w:rPr>
          <w:rFonts w:hint="eastAsia"/>
          <w:sz w:val="24"/>
        </w:rPr>
        <w:t>7.4质保期满后七天内支付余下款项。</w:t>
      </w:r>
    </w:p>
    <w:p>
      <w:pPr>
        <w:snapToGrid w:val="0"/>
        <w:spacing w:line="500" w:lineRule="exact"/>
        <w:ind w:firstLine="482" w:firstLineChars="200"/>
        <w:rPr>
          <w:rFonts w:hint="eastAsia"/>
          <w:b/>
          <w:sz w:val="24"/>
        </w:rPr>
      </w:pPr>
      <w:r>
        <w:rPr>
          <w:rFonts w:hint="eastAsia"/>
          <w:b/>
          <w:sz w:val="24"/>
        </w:rPr>
        <w:t>8.  技术服务</w:t>
      </w:r>
    </w:p>
    <w:p>
      <w:pPr>
        <w:snapToGrid w:val="0"/>
        <w:spacing w:line="500" w:lineRule="exact"/>
        <w:ind w:firstLine="480" w:firstLineChars="200"/>
        <w:rPr>
          <w:rFonts w:hint="eastAsia"/>
          <w:sz w:val="24"/>
        </w:rPr>
      </w:pPr>
      <w:r>
        <w:rPr>
          <w:rFonts w:hint="eastAsia"/>
          <w:sz w:val="24"/>
        </w:rPr>
        <w:t>8.1乙方应派员到甲方指定地点配合工作。</w:t>
      </w:r>
    </w:p>
    <w:p>
      <w:pPr>
        <w:snapToGrid w:val="0"/>
        <w:spacing w:line="500" w:lineRule="exact"/>
        <w:ind w:firstLine="480" w:firstLineChars="200"/>
        <w:rPr>
          <w:rFonts w:hint="eastAsia"/>
          <w:sz w:val="24"/>
        </w:rPr>
      </w:pPr>
      <w:r>
        <w:rPr>
          <w:rFonts w:hint="eastAsia"/>
          <w:sz w:val="24"/>
        </w:rPr>
        <w:t>8.2乙方按甲方提供的合同执行进度计划，再配合甲方及有关单位，以此做好合同执行进度上的配合工作。</w:t>
      </w:r>
    </w:p>
    <w:p>
      <w:pPr>
        <w:snapToGrid w:val="0"/>
        <w:spacing w:line="500" w:lineRule="exact"/>
        <w:ind w:firstLine="482" w:firstLineChars="200"/>
        <w:rPr>
          <w:rFonts w:hint="eastAsia"/>
          <w:b/>
          <w:sz w:val="24"/>
        </w:rPr>
      </w:pPr>
      <w:r>
        <w:rPr>
          <w:rFonts w:hint="eastAsia"/>
          <w:b/>
          <w:sz w:val="24"/>
        </w:rPr>
        <w:t>9. 不可抗力</w:t>
      </w:r>
    </w:p>
    <w:p>
      <w:pPr>
        <w:snapToGrid w:val="0"/>
        <w:spacing w:line="500" w:lineRule="exact"/>
        <w:ind w:firstLine="480" w:firstLineChars="200"/>
        <w:rPr>
          <w:rFonts w:hint="eastAsia"/>
          <w:sz w:val="24"/>
        </w:rPr>
      </w:pPr>
      <w:r>
        <w:rPr>
          <w:rFonts w:hint="eastAsia"/>
          <w:sz w:val="24"/>
        </w:rPr>
        <w:t>9.1不可抗力指战争、严重火灾、洪水、台风、地震等或其它双方认定的不可抗力事件。</w:t>
      </w:r>
    </w:p>
    <w:p>
      <w:pPr>
        <w:snapToGrid w:val="0"/>
        <w:spacing w:line="500" w:lineRule="exact"/>
        <w:ind w:firstLine="480" w:firstLineChars="200"/>
        <w:rPr>
          <w:rFonts w:hint="eastAsia"/>
          <w:sz w:val="24"/>
        </w:rPr>
      </w:pPr>
      <w:r>
        <w:rPr>
          <w:rFonts w:hint="eastAsia"/>
          <w:sz w:val="24"/>
        </w:rPr>
        <w:t>9.2签约双方中任何一方由于不可抗力影响合同执行时，发生不可抗力一方应尽快将事故通知另一方。在此情况下，乙方仍然有责任采取必要的措施加速供货，双方应通过友好协商尽快解决本合同的执行问题。</w:t>
      </w:r>
    </w:p>
    <w:p>
      <w:pPr>
        <w:snapToGrid w:val="0"/>
        <w:spacing w:line="500" w:lineRule="exact"/>
        <w:ind w:firstLine="482" w:firstLineChars="200"/>
        <w:rPr>
          <w:rFonts w:hint="eastAsia"/>
          <w:b/>
          <w:sz w:val="24"/>
        </w:rPr>
      </w:pPr>
      <w:r>
        <w:rPr>
          <w:rFonts w:hint="eastAsia"/>
          <w:b/>
          <w:sz w:val="24"/>
        </w:rPr>
        <w:t>10.  索赔</w:t>
      </w:r>
    </w:p>
    <w:p>
      <w:pPr>
        <w:snapToGrid w:val="0"/>
        <w:spacing w:line="500" w:lineRule="exact"/>
        <w:ind w:firstLine="480" w:firstLineChars="200"/>
        <w:rPr>
          <w:rFonts w:hint="eastAsia"/>
          <w:sz w:val="24"/>
        </w:rPr>
      </w:pPr>
      <w:r>
        <w:rPr>
          <w:rFonts w:hint="eastAsia"/>
          <w:sz w:val="24"/>
        </w:rPr>
        <w:t>10.1如有异议，甲方有权根据有关政府部门的检验结果向乙方提出索赔。（因设备质量问题导致医疗损害等不良后果的，甲方追究乙方责任，一切由乙方承担。）</w:t>
      </w:r>
    </w:p>
    <w:p>
      <w:pPr>
        <w:snapToGrid w:val="0"/>
        <w:spacing w:line="500" w:lineRule="exact"/>
        <w:ind w:firstLine="480" w:firstLineChars="200"/>
        <w:rPr>
          <w:rFonts w:hint="eastAsia"/>
          <w:sz w:val="24"/>
        </w:rPr>
      </w:pPr>
      <w:r>
        <w:rPr>
          <w:rFonts w:hint="eastAsia"/>
          <w:sz w:val="24"/>
        </w:rPr>
        <w:t>10.2</w:t>
      </w:r>
      <w:r>
        <w:rPr>
          <w:rFonts w:hint="eastAsia"/>
          <w:sz w:val="24"/>
        </w:rPr>
        <w:tab/>
      </w:r>
      <w:r>
        <w:rPr>
          <w:rFonts w:hint="eastAsia"/>
          <w:sz w:val="24"/>
        </w:rPr>
        <w:t>在合同执行期间，如果乙方对甲方提出的索赔和差异负有责任，乙方应按照甲方同意的下列一种或多种方式解决索赔事宜：</w:t>
      </w:r>
    </w:p>
    <w:p>
      <w:pPr>
        <w:snapToGrid w:val="0"/>
        <w:spacing w:line="500" w:lineRule="exact"/>
        <w:ind w:firstLine="480" w:firstLineChars="200"/>
        <w:rPr>
          <w:rFonts w:hint="eastAsia"/>
          <w:sz w:val="24"/>
        </w:rPr>
      </w:pPr>
      <w:r>
        <w:rPr>
          <w:rFonts w:hint="eastAsia"/>
          <w:sz w:val="24"/>
        </w:rPr>
        <w:t>（1）乙方同意退货，并按合同规定的同种货币将货款退还给甲方，并承担由此发生的一切损失和费用。</w:t>
      </w:r>
    </w:p>
    <w:p>
      <w:pPr>
        <w:snapToGrid w:val="0"/>
        <w:spacing w:line="500" w:lineRule="exact"/>
        <w:ind w:firstLine="480" w:firstLineChars="200"/>
        <w:rPr>
          <w:rFonts w:hint="eastAsia"/>
          <w:sz w:val="24"/>
        </w:rPr>
      </w:pPr>
      <w:r>
        <w:rPr>
          <w:rFonts w:hint="eastAsia"/>
          <w:sz w:val="24"/>
        </w:rPr>
        <w:t>（2）根据货物低劣程度、损坏程度以及甲方所遭受损失的数额甲乙双方商定降低货物的价格。</w:t>
      </w:r>
    </w:p>
    <w:p>
      <w:pPr>
        <w:snapToGrid w:val="0"/>
        <w:spacing w:line="500" w:lineRule="exact"/>
        <w:ind w:firstLine="480" w:firstLineChars="200"/>
        <w:rPr>
          <w:rFonts w:hint="eastAsia"/>
          <w:sz w:val="24"/>
        </w:rPr>
      </w:pPr>
      <w:r>
        <w:rPr>
          <w:rFonts w:hint="eastAsia"/>
          <w:sz w:val="24"/>
        </w:rPr>
        <w:t>（3）用符合规格、质量和性能要求的新零件、部件或货物来更换有缺陷的部分或修补缺陷的部分，乙方应承担一切费用和风险并负担甲方所发生的一切直接费用。同时，相应延长质量保证期。</w:t>
      </w:r>
    </w:p>
    <w:p>
      <w:pPr>
        <w:snapToGrid w:val="0"/>
        <w:spacing w:line="500" w:lineRule="exact"/>
        <w:ind w:firstLine="482" w:firstLineChars="200"/>
        <w:rPr>
          <w:rFonts w:hint="eastAsia"/>
          <w:b/>
          <w:sz w:val="24"/>
        </w:rPr>
      </w:pPr>
      <w:r>
        <w:rPr>
          <w:rFonts w:hint="eastAsia"/>
          <w:b/>
          <w:sz w:val="24"/>
        </w:rPr>
        <w:t>11  合同终止</w:t>
      </w:r>
    </w:p>
    <w:p>
      <w:pPr>
        <w:snapToGrid w:val="0"/>
        <w:spacing w:line="500" w:lineRule="exact"/>
        <w:ind w:firstLine="480" w:firstLineChars="200"/>
        <w:rPr>
          <w:rFonts w:hint="eastAsia"/>
          <w:sz w:val="24"/>
        </w:rPr>
      </w:pPr>
      <w:r>
        <w:rPr>
          <w:rFonts w:hint="eastAsia"/>
          <w:sz w:val="24"/>
        </w:rPr>
        <w:t>如果一方严重违反合同，并在收到对方违约通知书后在30天内仍未能改正违约的另一方可立即终止本合同。</w:t>
      </w:r>
    </w:p>
    <w:p>
      <w:pPr>
        <w:snapToGrid w:val="0"/>
        <w:spacing w:line="500" w:lineRule="exact"/>
        <w:ind w:firstLine="482" w:firstLineChars="200"/>
        <w:rPr>
          <w:rFonts w:hint="eastAsia"/>
          <w:b/>
          <w:sz w:val="24"/>
        </w:rPr>
      </w:pPr>
      <w:r>
        <w:rPr>
          <w:rFonts w:hint="eastAsia"/>
          <w:b/>
          <w:sz w:val="24"/>
        </w:rPr>
        <w:t>12.  法律诉讼</w:t>
      </w:r>
    </w:p>
    <w:p>
      <w:pPr>
        <w:snapToGrid w:val="0"/>
        <w:spacing w:line="500" w:lineRule="exact"/>
        <w:ind w:firstLine="480" w:firstLineChars="200"/>
        <w:rPr>
          <w:rFonts w:hint="eastAsia"/>
          <w:sz w:val="24"/>
        </w:rPr>
      </w:pPr>
      <w:r>
        <w:rPr>
          <w:rFonts w:hint="eastAsia"/>
          <w:sz w:val="24"/>
        </w:rPr>
        <w:t>签约双方在履约中发生争执和分歧，双方应通过友好协商解决，若经协商不能达成协议时，则由合同签订所在地仲裁机构仲裁或向合同签订所在地人民法院提起诉讼（仲裁或诉讼任选一种）。受理期间，双方应继续执行合同其余部分。</w:t>
      </w:r>
    </w:p>
    <w:p>
      <w:pPr>
        <w:snapToGrid w:val="0"/>
        <w:spacing w:line="500" w:lineRule="exact"/>
        <w:ind w:firstLine="482" w:firstLineChars="200"/>
        <w:rPr>
          <w:rFonts w:hint="eastAsia"/>
          <w:b/>
          <w:sz w:val="24"/>
        </w:rPr>
      </w:pPr>
      <w:r>
        <w:rPr>
          <w:rFonts w:hint="eastAsia"/>
          <w:b/>
          <w:sz w:val="24"/>
        </w:rPr>
        <w:t>13.  其他</w:t>
      </w:r>
    </w:p>
    <w:p>
      <w:pPr>
        <w:snapToGrid w:val="0"/>
        <w:spacing w:line="500" w:lineRule="exact"/>
        <w:ind w:firstLine="480" w:firstLineChars="200"/>
        <w:rPr>
          <w:rFonts w:hint="eastAsia"/>
          <w:sz w:val="24"/>
        </w:rPr>
      </w:pPr>
      <w:r>
        <w:rPr>
          <w:rFonts w:hint="eastAsia"/>
          <w:sz w:val="24"/>
        </w:rPr>
        <w:t>13.1</w:t>
      </w:r>
      <w:r>
        <w:rPr>
          <w:rFonts w:hint="eastAsia"/>
          <w:sz w:val="24"/>
        </w:rPr>
        <w:tab/>
      </w:r>
      <w:r>
        <w:rPr>
          <w:rFonts w:hint="eastAsia"/>
          <w:sz w:val="24"/>
        </w:rPr>
        <w:t>本合同正本三份，具有同等法律效力，甲方2份、乙方1份。合同自签字之日起即时生效。</w:t>
      </w:r>
    </w:p>
    <w:p>
      <w:pPr>
        <w:snapToGrid w:val="0"/>
        <w:spacing w:line="500" w:lineRule="exact"/>
        <w:ind w:firstLine="480" w:firstLineChars="200"/>
        <w:rPr>
          <w:rFonts w:hint="eastAsia"/>
          <w:sz w:val="24"/>
        </w:rPr>
      </w:pPr>
      <w:r>
        <w:rPr>
          <w:rFonts w:hint="eastAsia"/>
          <w:sz w:val="24"/>
        </w:rPr>
        <w:t>13.2</w:t>
      </w:r>
      <w:r>
        <w:rPr>
          <w:rFonts w:hint="eastAsia"/>
          <w:sz w:val="24"/>
        </w:rPr>
        <w:tab/>
      </w:r>
      <w:r>
        <w:rPr>
          <w:rFonts w:hint="eastAsia"/>
          <w:sz w:val="24"/>
        </w:rPr>
        <w:t>本合同末尽事宜，由双方协商处理。</w:t>
      </w:r>
    </w:p>
    <w:p>
      <w:pPr>
        <w:snapToGrid w:val="0"/>
        <w:spacing w:line="500" w:lineRule="exact"/>
        <w:ind w:firstLine="480" w:firstLineChars="200"/>
        <w:rPr>
          <w:rFonts w:hint="eastAsia"/>
          <w:sz w:val="24"/>
        </w:rPr>
      </w:pPr>
    </w:p>
    <w:p>
      <w:pPr>
        <w:snapToGrid w:val="0"/>
        <w:spacing w:line="500" w:lineRule="exact"/>
        <w:ind w:firstLine="420" w:firstLineChars="200"/>
        <w:rPr>
          <w:rFonts w:hint="eastAsia"/>
          <w:szCs w:val="21"/>
        </w:rPr>
      </w:pPr>
      <w:r>
        <w:rPr>
          <w:rFonts w:hint="eastAsia"/>
          <w:szCs w:val="21"/>
        </w:rPr>
        <w:t>甲方：                                     乙方：</w:t>
      </w:r>
    </w:p>
    <w:p>
      <w:pPr>
        <w:snapToGrid w:val="0"/>
        <w:spacing w:line="500" w:lineRule="exact"/>
        <w:ind w:firstLine="420" w:firstLineChars="200"/>
        <w:rPr>
          <w:rFonts w:hint="eastAsia"/>
          <w:szCs w:val="21"/>
        </w:rPr>
      </w:pPr>
      <w:r>
        <w:rPr>
          <w:rFonts w:hint="eastAsia"/>
          <w:szCs w:val="21"/>
        </w:rPr>
        <w:t>法人代表：                                 法人代表：</w:t>
      </w:r>
    </w:p>
    <w:p>
      <w:pPr>
        <w:snapToGrid w:val="0"/>
        <w:spacing w:line="500" w:lineRule="exact"/>
        <w:ind w:firstLine="420" w:firstLineChars="200"/>
        <w:rPr>
          <w:rFonts w:hint="eastAsia"/>
          <w:szCs w:val="21"/>
        </w:rPr>
      </w:pPr>
      <w:r>
        <w:rPr>
          <w:rFonts w:hint="eastAsia"/>
          <w:szCs w:val="21"/>
        </w:rPr>
        <w:t>签约代表 ：                                签约代表：</w:t>
      </w:r>
    </w:p>
    <w:p>
      <w:pPr>
        <w:snapToGrid w:val="0"/>
        <w:spacing w:line="500" w:lineRule="exact"/>
        <w:ind w:left="4935" w:leftChars="200" w:hanging="4515" w:hangingChars="2150"/>
        <w:rPr>
          <w:rFonts w:hint="eastAsia"/>
          <w:szCs w:val="21"/>
        </w:rPr>
      </w:pPr>
      <w:r>
        <w:rPr>
          <w:rFonts w:hint="eastAsia"/>
          <w:szCs w:val="21"/>
        </w:rPr>
        <w:t>地址：                                     地址：</w:t>
      </w:r>
    </w:p>
    <w:p>
      <w:pPr>
        <w:snapToGrid w:val="0"/>
        <w:spacing w:line="500" w:lineRule="exact"/>
        <w:ind w:firstLine="420" w:firstLineChars="200"/>
        <w:rPr>
          <w:rFonts w:hint="eastAsia"/>
          <w:szCs w:val="21"/>
        </w:rPr>
      </w:pPr>
      <w:r>
        <w:rPr>
          <w:rFonts w:hint="eastAsia"/>
          <w:szCs w:val="21"/>
        </w:rPr>
        <w:t>电话：</w:t>
      </w:r>
      <w:r>
        <w:rPr>
          <w:rFonts w:hint="eastAsia"/>
          <w:szCs w:val="21"/>
        </w:rPr>
        <w:tab/>
      </w:r>
      <w:r>
        <w:rPr>
          <w:rFonts w:hint="eastAsia"/>
          <w:szCs w:val="21"/>
        </w:rPr>
        <w:tab/>
      </w:r>
      <w:r>
        <w:rPr>
          <w:rFonts w:hint="eastAsia"/>
          <w:szCs w:val="21"/>
        </w:rPr>
        <w:t xml:space="preserve">                               电话：</w:t>
      </w:r>
    </w:p>
    <w:p>
      <w:pPr>
        <w:snapToGrid w:val="0"/>
        <w:spacing w:line="500" w:lineRule="exact"/>
        <w:ind w:firstLine="420" w:firstLineChars="200"/>
        <w:rPr>
          <w:rFonts w:hint="eastAsia"/>
          <w:szCs w:val="21"/>
        </w:rPr>
      </w:pPr>
      <w:r>
        <w:rPr>
          <w:rFonts w:hint="eastAsia"/>
          <w:szCs w:val="21"/>
        </w:rPr>
        <w:t xml:space="preserve">传真: </w:t>
      </w:r>
      <w:r>
        <w:rPr>
          <w:rFonts w:hint="eastAsia"/>
          <w:szCs w:val="21"/>
        </w:rPr>
        <w:tab/>
      </w:r>
      <w:r>
        <w:rPr>
          <w:rFonts w:hint="eastAsia"/>
          <w:szCs w:val="21"/>
        </w:rPr>
        <w:tab/>
      </w:r>
      <w:r>
        <w:rPr>
          <w:rFonts w:hint="eastAsia"/>
          <w:szCs w:val="21"/>
        </w:rPr>
        <w:t xml:space="preserve">                               传真: </w:t>
      </w:r>
    </w:p>
    <w:p>
      <w:pPr>
        <w:snapToGrid w:val="0"/>
        <w:spacing w:line="500" w:lineRule="exact"/>
        <w:ind w:firstLine="420" w:firstLineChars="200"/>
        <w:rPr>
          <w:rFonts w:hint="eastAsia"/>
          <w:szCs w:val="21"/>
        </w:rPr>
      </w:pPr>
      <w:r>
        <w:rPr>
          <w:rFonts w:hint="eastAsia"/>
          <w:szCs w:val="21"/>
        </w:rPr>
        <w:t xml:space="preserve">签约日期：2015年    月    日     </w:t>
      </w:r>
      <w:r>
        <w:rPr>
          <w:rFonts w:hint="eastAsia"/>
          <w:szCs w:val="21"/>
        </w:rPr>
        <w:tab/>
      </w:r>
      <w:r>
        <w:rPr>
          <w:rFonts w:hint="eastAsia"/>
          <w:szCs w:val="21"/>
        </w:rPr>
        <w:t xml:space="preserve">       签约日期：2015年     月    日</w:t>
      </w:r>
    </w:p>
    <w:p>
      <w:pPr>
        <w:snapToGrid w:val="0"/>
        <w:spacing w:line="500" w:lineRule="exact"/>
        <w:ind w:firstLine="420" w:firstLineChars="200"/>
        <w:rPr>
          <w:rFonts w:hint="eastAsia"/>
          <w:szCs w:val="21"/>
        </w:rPr>
      </w:pPr>
      <w:r>
        <w:rPr>
          <w:rFonts w:hint="eastAsia"/>
          <w:szCs w:val="21"/>
        </w:rPr>
        <w:t>签约地点：</w:t>
      </w:r>
    </w:p>
    <w:p>
      <w:pPr>
        <w:snapToGrid w:val="0"/>
        <w:spacing w:line="500" w:lineRule="exact"/>
        <w:ind w:firstLine="420" w:firstLineChars="200"/>
        <w:rPr>
          <w:rFonts w:hint="eastAsia"/>
          <w:szCs w:val="21"/>
        </w:rPr>
      </w:pPr>
      <w:r>
        <w:rPr>
          <w:rFonts w:hint="eastAsia"/>
          <w:szCs w:val="21"/>
        </w:rPr>
        <w:t>开户银行：                                 开户银行：</w:t>
      </w:r>
    </w:p>
    <w:p>
      <w:pPr>
        <w:snapToGrid w:val="0"/>
        <w:spacing w:line="500" w:lineRule="exact"/>
        <w:ind w:firstLine="420" w:firstLineChars="200"/>
        <w:rPr>
          <w:rFonts w:hint="eastAsia"/>
          <w:szCs w:val="21"/>
        </w:rPr>
      </w:pPr>
      <w:r>
        <w:rPr>
          <w:rFonts w:hint="eastAsia"/>
          <w:szCs w:val="21"/>
        </w:rPr>
        <w:t>帐号：                                     帐号：</w:t>
      </w:r>
      <w:bookmarkEnd w:id="0"/>
    </w:p>
    <w:p>
      <w:pPr>
        <w:adjustRightInd w:val="0"/>
        <w:snapToGrid w:val="0"/>
        <w:spacing w:line="560" w:lineRule="exact"/>
        <w:rPr>
          <w:rFonts w:ascii="黑体" w:hAnsi="黑体" w:eastAsia="黑体"/>
          <w:sz w:val="24"/>
          <w:szCs w:val="24"/>
        </w:rPr>
      </w:pPr>
    </w:p>
    <w:sectPr>
      <w:pgSz w:w="11906" w:h="16838"/>
      <w:pgMar w:top="1134" w:right="1304" w:bottom="1091" w:left="1304" w:header="737"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Cambria">
    <w:altName w:val="Shruti"/>
    <w:panose1 w:val="02040503050406030204"/>
    <w:charset w:val="00"/>
    <w:family w:val="swiss"/>
    <w:pitch w:val="default"/>
    <w:sig w:usb0="00000000" w:usb1="00000000" w:usb2="00000000" w:usb3="00000000" w:csb0="0000019F" w:csb1="00000000"/>
  </w:font>
  <w:font w:name="Calibri">
    <w:altName w:val="Lucida Sans"/>
    <w:panose1 w:val="020F0502020204030204"/>
    <w:charset w:val="00"/>
    <w:family w:val="roman"/>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2"/>
  <w:drawingGridVerticalSpacing w:val="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6B9E"/>
    <w:rsid w:val="00000EE4"/>
    <w:rsid w:val="00005A5B"/>
    <w:rsid w:val="0001130A"/>
    <w:rsid w:val="00011996"/>
    <w:rsid w:val="0001598A"/>
    <w:rsid w:val="00047FD0"/>
    <w:rsid w:val="00054BEA"/>
    <w:rsid w:val="00064ACA"/>
    <w:rsid w:val="00095D32"/>
    <w:rsid w:val="00096DC0"/>
    <w:rsid w:val="000A0398"/>
    <w:rsid w:val="000A5419"/>
    <w:rsid w:val="000B2629"/>
    <w:rsid w:val="000B611D"/>
    <w:rsid w:val="000C0704"/>
    <w:rsid w:val="000C495E"/>
    <w:rsid w:val="000D1E1E"/>
    <w:rsid w:val="000D5B01"/>
    <w:rsid w:val="000F16E4"/>
    <w:rsid w:val="0014637E"/>
    <w:rsid w:val="00147F87"/>
    <w:rsid w:val="00166B9E"/>
    <w:rsid w:val="00174D38"/>
    <w:rsid w:val="00175512"/>
    <w:rsid w:val="001840C4"/>
    <w:rsid w:val="00191F25"/>
    <w:rsid w:val="00194460"/>
    <w:rsid w:val="00195C9D"/>
    <w:rsid w:val="001A15B8"/>
    <w:rsid w:val="001A1709"/>
    <w:rsid w:val="001A2D59"/>
    <w:rsid w:val="001B7FE4"/>
    <w:rsid w:val="001D0A26"/>
    <w:rsid w:val="001D28A7"/>
    <w:rsid w:val="001D6457"/>
    <w:rsid w:val="001E45BB"/>
    <w:rsid w:val="001E6D77"/>
    <w:rsid w:val="00200490"/>
    <w:rsid w:val="002045F3"/>
    <w:rsid w:val="00217EC5"/>
    <w:rsid w:val="0022253F"/>
    <w:rsid w:val="00223756"/>
    <w:rsid w:val="002314EB"/>
    <w:rsid w:val="00235087"/>
    <w:rsid w:val="00235B42"/>
    <w:rsid w:val="0023786B"/>
    <w:rsid w:val="00240A5D"/>
    <w:rsid w:val="002457CE"/>
    <w:rsid w:val="0025443A"/>
    <w:rsid w:val="002645ED"/>
    <w:rsid w:val="002725B2"/>
    <w:rsid w:val="0027317F"/>
    <w:rsid w:val="002864AD"/>
    <w:rsid w:val="00291967"/>
    <w:rsid w:val="0029368A"/>
    <w:rsid w:val="002A2843"/>
    <w:rsid w:val="002B503F"/>
    <w:rsid w:val="002B7CF0"/>
    <w:rsid w:val="002C66AA"/>
    <w:rsid w:val="002D2662"/>
    <w:rsid w:val="002D3FD2"/>
    <w:rsid w:val="002E0EA7"/>
    <w:rsid w:val="002E3531"/>
    <w:rsid w:val="002F29FC"/>
    <w:rsid w:val="002F5FF9"/>
    <w:rsid w:val="0034089B"/>
    <w:rsid w:val="00365FF7"/>
    <w:rsid w:val="00377903"/>
    <w:rsid w:val="003868CB"/>
    <w:rsid w:val="00392ED7"/>
    <w:rsid w:val="00393ED9"/>
    <w:rsid w:val="0039773A"/>
    <w:rsid w:val="003A1C97"/>
    <w:rsid w:val="003B7399"/>
    <w:rsid w:val="003C486E"/>
    <w:rsid w:val="003C7E82"/>
    <w:rsid w:val="003D58E2"/>
    <w:rsid w:val="003E2CBF"/>
    <w:rsid w:val="0040732E"/>
    <w:rsid w:val="00407C84"/>
    <w:rsid w:val="00410D6C"/>
    <w:rsid w:val="00412643"/>
    <w:rsid w:val="00414CA1"/>
    <w:rsid w:val="00422F6E"/>
    <w:rsid w:val="00425E52"/>
    <w:rsid w:val="00434679"/>
    <w:rsid w:val="00453201"/>
    <w:rsid w:val="00461B68"/>
    <w:rsid w:val="00490DDF"/>
    <w:rsid w:val="004B03D9"/>
    <w:rsid w:val="004C259B"/>
    <w:rsid w:val="004D3012"/>
    <w:rsid w:val="004E6334"/>
    <w:rsid w:val="004E6BA0"/>
    <w:rsid w:val="004F53E6"/>
    <w:rsid w:val="004F7F81"/>
    <w:rsid w:val="0051277F"/>
    <w:rsid w:val="00515A44"/>
    <w:rsid w:val="00520E3C"/>
    <w:rsid w:val="00521690"/>
    <w:rsid w:val="00522B52"/>
    <w:rsid w:val="0053531F"/>
    <w:rsid w:val="0053566C"/>
    <w:rsid w:val="00553428"/>
    <w:rsid w:val="005639E8"/>
    <w:rsid w:val="00572D4C"/>
    <w:rsid w:val="0058115C"/>
    <w:rsid w:val="00584058"/>
    <w:rsid w:val="0058720C"/>
    <w:rsid w:val="0059521F"/>
    <w:rsid w:val="005A79ED"/>
    <w:rsid w:val="005C4108"/>
    <w:rsid w:val="005C4718"/>
    <w:rsid w:val="005E7F04"/>
    <w:rsid w:val="00613445"/>
    <w:rsid w:val="006203A2"/>
    <w:rsid w:val="00627AC6"/>
    <w:rsid w:val="00627F94"/>
    <w:rsid w:val="00644B1F"/>
    <w:rsid w:val="00651EDE"/>
    <w:rsid w:val="006547C7"/>
    <w:rsid w:val="0065510F"/>
    <w:rsid w:val="006707FE"/>
    <w:rsid w:val="0068155A"/>
    <w:rsid w:val="00685859"/>
    <w:rsid w:val="006858B3"/>
    <w:rsid w:val="00695776"/>
    <w:rsid w:val="006A455B"/>
    <w:rsid w:val="006C1A06"/>
    <w:rsid w:val="006E0B1E"/>
    <w:rsid w:val="006E33E1"/>
    <w:rsid w:val="006E6269"/>
    <w:rsid w:val="006F286E"/>
    <w:rsid w:val="006F59D2"/>
    <w:rsid w:val="00704364"/>
    <w:rsid w:val="00713499"/>
    <w:rsid w:val="00724431"/>
    <w:rsid w:val="007249CE"/>
    <w:rsid w:val="00726496"/>
    <w:rsid w:val="00726CBB"/>
    <w:rsid w:val="007324D6"/>
    <w:rsid w:val="0077170A"/>
    <w:rsid w:val="00773CB7"/>
    <w:rsid w:val="00783F56"/>
    <w:rsid w:val="00784DA0"/>
    <w:rsid w:val="0079368A"/>
    <w:rsid w:val="00794B0E"/>
    <w:rsid w:val="007A10C8"/>
    <w:rsid w:val="007A7041"/>
    <w:rsid w:val="007B573F"/>
    <w:rsid w:val="007B6FD7"/>
    <w:rsid w:val="007E6552"/>
    <w:rsid w:val="007F2AD3"/>
    <w:rsid w:val="007F575B"/>
    <w:rsid w:val="0080082C"/>
    <w:rsid w:val="00806D02"/>
    <w:rsid w:val="00812F5C"/>
    <w:rsid w:val="00820148"/>
    <w:rsid w:val="00830534"/>
    <w:rsid w:val="00832F4B"/>
    <w:rsid w:val="00833ED6"/>
    <w:rsid w:val="0085538B"/>
    <w:rsid w:val="0085570D"/>
    <w:rsid w:val="00890A10"/>
    <w:rsid w:val="00893008"/>
    <w:rsid w:val="0089309D"/>
    <w:rsid w:val="008947CB"/>
    <w:rsid w:val="00896C0E"/>
    <w:rsid w:val="008A39DF"/>
    <w:rsid w:val="008A47EE"/>
    <w:rsid w:val="008B042A"/>
    <w:rsid w:val="008D2751"/>
    <w:rsid w:val="008D7713"/>
    <w:rsid w:val="008E3F49"/>
    <w:rsid w:val="008E44BE"/>
    <w:rsid w:val="008E48ED"/>
    <w:rsid w:val="008F4C11"/>
    <w:rsid w:val="00931CF1"/>
    <w:rsid w:val="00931F1B"/>
    <w:rsid w:val="00932A89"/>
    <w:rsid w:val="009427B1"/>
    <w:rsid w:val="0097344D"/>
    <w:rsid w:val="00981CF1"/>
    <w:rsid w:val="009A0E19"/>
    <w:rsid w:val="009B3A39"/>
    <w:rsid w:val="009B3EA9"/>
    <w:rsid w:val="009D7F03"/>
    <w:rsid w:val="009E4761"/>
    <w:rsid w:val="00A0531E"/>
    <w:rsid w:val="00A10579"/>
    <w:rsid w:val="00A13AEE"/>
    <w:rsid w:val="00A163AF"/>
    <w:rsid w:val="00A22D97"/>
    <w:rsid w:val="00A24694"/>
    <w:rsid w:val="00A30296"/>
    <w:rsid w:val="00A32F6C"/>
    <w:rsid w:val="00A33302"/>
    <w:rsid w:val="00A335A7"/>
    <w:rsid w:val="00A4099B"/>
    <w:rsid w:val="00A455B7"/>
    <w:rsid w:val="00A46EB1"/>
    <w:rsid w:val="00A5282F"/>
    <w:rsid w:val="00A5684A"/>
    <w:rsid w:val="00A5729D"/>
    <w:rsid w:val="00A670FF"/>
    <w:rsid w:val="00A75372"/>
    <w:rsid w:val="00A76313"/>
    <w:rsid w:val="00A84046"/>
    <w:rsid w:val="00A85E7D"/>
    <w:rsid w:val="00AA036C"/>
    <w:rsid w:val="00AA07A6"/>
    <w:rsid w:val="00AB379A"/>
    <w:rsid w:val="00AD0413"/>
    <w:rsid w:val="00B03FD7"/>
    <w:rsid w:val="00B220C2"/>
    <w:rsid w:val="00B26E16"/>
    <w:rsid w:val="00B3516E"/>
    <w:rsid w:val="00B3699E"/>
    <w:rsid w:val="00B4555B"/>
    <w:rsid w:val="00B60E45"/>
    <w:rsid w:val="00B71D9D"/>
    <w:rsid w:val="00B751AD"/>
    <w:rsid w:val="00B9379C"/>
    <w:rsid w:val="00B94D54"/>
    <w:rsid w:val="00B97BCB"/>
    <w:rsid w:val="00BA1589"/>
    <w:rsid w:val="00BC4EF8"/>
    <w:rsid w:val="00BD3A79"/>
    <w:rsid w:val="00BD6F71"/>
    <w:rsid w:val="00BE556A"/>
    <w:rsid w:val="00BF02EC"/>
    <w:rsid w:val="00C06F91"/>
    <w:rsid w:val="00C100D0"/>
    <w:rsid w:val="00C34F09"/>
    <w:rsid w:val="00C43027"/>
    <w:rsid w:val="00C434AB"/>
    <w:rsid w:val="00C50E32"/>
    <w:rsid w:val="00C53B95"/>
    <w:rsid w:val="00C568A0"/>
    <w:rsid w:val="00C6050D"/>
    <w:rsid w:val="00C7250A"/>
    <w:rsid w:val="00C728A0"/>
    <w:rsid w:val="00C836F6"/>
    <w:rsid w:val="00CA6697"/>
    <w:rsid w:val="00CB1F9C"/>
    <w:rsid w:val="00CC0279"/>
    <w:rsid w:val="00CC5ECC"/>
    <w:rsid w:val="00CD62DE"/>
    <w:rsid w:val="00CD73F7"/>
    <w:rsid w:val="00CF19B1"/>
    <w:rsid w:val="00CF5CA3"/>
    <w:rsid w:val="00D23D5D"/>
    <w:rsid w:val="00D36D9B"/>
    <w:rsid w:val="00D4148A"/>
    <w:rsid w:val="00D432F9"/>
    <w:rsid w:val="00D46CF2"/>
    <w:rsid w:val="00D50C72"/>
    <w:rsid w:val="00D51B8E"/>
    <w:rsid w:val="00D5556B"/>
    <w:rsid w:val="00D55F2E"/>
    <w:rsid w:val="00D57BBD"/>
    <w:rsid w:val="00D63532"/>
    <w:rsid w:val="00D70F75"/>
    <w:rsid w:val="00D71992"/>
    <w:rsid w:val="00D83CB7"/>
    <w:rsid w:val="00D91877"/>
    <w:rsid w:val="00D969DE"/>
    <w:rsid w:val="00DA7726"/>
    <w:rsid w:val="00DB17B6"/>
    <w:rsid w:val="00DB7245"/>
    <w:rsid w:val="00DD0D48"/>
    <w:rsid w:val="00DE0056"/>
    <w:rsid w:val="00DE03A2"/>
    <w:rsid w:val="00DE206C"/>
    <w:rsid w:val="00DE414D"/>
    <w:rsid w:val="00DE6150"/>
    <w:rsid w:val="00DF0B24"/>
    <w:rsid w:val="00E103D4"/>
    <w:rsid w:val="00E149BB"/>
    <w:rsid w:val="00E158E9"/>
    <w:rsid w:val="00E217E1"/>
    <w:rsid w:val="00E24882"/>
    <w:rsid w:val="00E25481"/>
    <w:rsid w:val="00E338BC"/>
    <w:rsid w:val="00E574D1"/>
    <w:rsid w:val="00E63ADB"/>
    <w:rsid w:val="00E669BB"/>
    <w:rsid w:val="00E91FC0"/>
    <w:rsid w:val="00E940F1"/>
    <w:rsid w:val="00EA2505"/>
    <w:rsid w:val="00EB4145"/>
    <w:rsid w:val="00EC6EF4"/>
    <w:rsid w:val="00ED1114"/>
    <w:rsid w:val="00ED4017"/>
    <w:rsid w:val="00ED5335"/>
    <w:rsid w:val="00EE60FA"/>
    <w:rsid w:val="00EF0877"/>
    <w:rsid w:val="00EF1EAC"/>
    <w:rsid w:val="00EF53FC"/>
    <w:rsid w:val="00F04380"/>
    <w:rsid w:val="00F11B6D"/>
    <w:rsid w:val="00F24236"/>
    <w:rsid w:val="00F4575F"/>
    <w:rsid w:val="00F6078C"/>
    <w:rsid w:val="00F621C9"/>
    <w:rsid w:val="00F62B95"/>
    <w:rsid w:val="00F66147"/>
    <w:rsid w:val="00F70B7B"/>
    <w:rsid w:val="00F71BBB"/>
    <w:rsid w:val="00F72388"/>
    <w:rsid w:val="00F874FD"/>
    <w:rsid w:val="00F878E8"/>
    <w:rsid w:val="00FB6377"/>
    <w:rsid w:val="00FC212B"/>
    <w:rsid w:val="00FF062D"/>
    <w:rsid w:val="07530D7C"/>
    <w:rsid w:val="1DDF0F09"/>
    <w:rsid w:val="30E645D0"/>
    <w:rsid w:val="336D3AEF"/>
    <w:rsid w:val="3B973740"/>
    <w:rsid w:val="3BAF406C"/>
    <w:rsid w:val="454C693D"/>
    <w:rsid w:val="51736F8B"/>
    <w:rsid w:val="6EF842F3"/>
    <w:rsid w:val="71BB531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Times New Roman" w:eastAsia="宋体" w:cs="Times New Roman"/>
      <w:kern w:val="2"/>
      <w:sz w:val="21"/>
      <w:lang w:val="en-US" w:eastAsia="zh-CN" w:bidi="ar-SA"/>
    </w:rPr>
  </w:style>
  <w:style w:type="character" w:default="1" w:styleId="12">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annotation subject"/>
    <w:basedOn w:val="3"/>
    <w:next w:val="3"/>
    <w:link w:val="26"/>
    <w:qFormat/>
    <w:uiPriority w:val="0"/>
    <w:rPr>
      <w:b/>
      <w:bCs/>
    </w:rPr>
  </w:style>
  <w:style w:type="paragraph" w:styleId="3">
    <w:name w:val="annotation text"/>
    <w:basedOn w:val="1"/>
    <w:link w:val="25"/>
    <w:qFormat/>
    <w:uiPriority w:val="0"/>
    <w:pPr>
      <w:jc w:val="left"/>
    </w:pPr>
  </w:style>
  <w:style w:type="paragraph" w:styleId="4">
    <w:name w:val="Body Text"/>
    <w:basedOn w:val="1"/>
    <w:qFormat/>
    <w:uiPriority w:val="0"/>
    <w:pPr>
      <w:snapToGrid w:val="0"/>
      <w:spacing w:line="700" w:lineRule="atLeast"/>
    </w:pPr>
    <w:rPr>
      <w:sz w:val="28"/>
    </w:rPr>
  </w:style>
  <w:style w:type="paragraph" w:styleId="5">
    <w:name w:val="Body Text Indent"/>
    <w:basedOn w:val="1"/>
    <w:qFormat/>
    <w:uiPriority w:val="0"/>
    <w:pPr>
      <w:spacing w:after="120"/>
      <w:ind w:left="420" w:leftChars="200"/>
    </w:pPr>
  </w:style>
  <w:style w:type="paragraph" w:styleId="6">
    <w:name w:val="Block Text"/>
    <w:basedOn w:val="1"/>
    <w:qFormat/>
    <w:uiPriority w:val="0"/>
    <w:pPr>
      <w:spacing w:after="120"/>
      <w:ind w:left="1440" w:leftChars="700" w:right="1440" w:rightChars="700"/>
    </w:pPr>
    <w:rPr>
      <w:rFonts w:ascii="Times New Roman"/>
    </w:rPr>
  </w:style>
  <w:style w:type="paragraph" w:styleId="7">
    <w:name w:val="Date"/>
    <w:basedOn w:val="1"/>
    <w:next w:val="1"/>
    <w:qFormat/>
    <w:uiPriority w:val="0"/>
  </w:style>
  <w:style w:type="paragraph" w:styleId="8">
    <w:name w:val="Balloon Text"/>
    <w:basedOn w:val="1"/>
    <w:semiHidden/>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style>
  <w:style w:type="character" w:styleId="13">
    <w:name w:val="Emphasis"/>
    <w:basedOn w:val="12"/>
    <w:uiPriority w:val="0"/>
    <w:rPr>
      <w:color w:val="CC0000"/>
    </w:rPr>
  </w:style>
  <w:style w:type="character" w:styleId="14">
    <w:name w:val="Hyperlink"/>
    <w:basedOn w:val="12"/>
    <w:uiPriority w:val="0"/>
    <w:rPr>
      <w:color w:val="0000FF"/>
      <w:u w:val="single"/>
    </w:rPr>
  </w:style>
  <w:style w:type="character" w:styleId="15">
    <w:name w:val="annotation reference"/>
    <w:basedOn w:val="12"/>
    <w:qFormat/>
    <w:uiPriority w:val="0"/>
    <w:rPr>
      <w:sz w:val="21"/>
      <w:szCs w:val="21"/>
    </w:rPr>
  </w:style>
  <w:style w:type="paragraph" w:customStyle="1" w:styleId="17">
    <w:name w:val="_Style 2"/>
    <w:basedOn w:val="1"/>
    <w:next w:val="5"/>
    <w:uiPriority w:val="0"/>
    <w:pPr>
      <w:spacing w:line="360" w:lineRule="auto"/>
      <w:ind w:left="750" w:leftChars="357"/>
    </w:pPr>
    <w:rPr>
      <w:rFonts w:ascii="楷体_GB2312" w:eastAsia="楷体_GB2312"/>
      <w:sz w:val="30"/>
      <w:szCs w:val="24"/>
    </w:rPr>
  </w:style>
  <w:style w:type="paragraph" w:customStyle="1" w:styleId="18">
    <w:name w:val="_Style 4"/>
    <w:basedOn w:val="1"/>
    <w:next w:val="4"/>
    <w:uiPriority w:val="0"/>
    <w:pPr>
      <w:spacing w:beforeLines="50" w:line="400" w:lineRule="exact"/>
    </w:pPr>
    <w:rPr>
      <w:rFonts w:ascii="楷体_GB2312" w:eastAsia="楷体_GB2312"/>
      <w:sz w:val="28"/>
      <w:szCs w:val="24"/>
    </w:rPr>
  </w:style>
  <w:style w:type="paragraph" w:customStyle="1" w:styleId="19">
    <w:name w:val="_Style 6"/>
    <w:basedOn w:val="1"/>
    <w:next w:val="4"/>
    <w:uiPriority w:val="0"/>
    <w:pPr>
      <w:snapToGrid w:val="0"/>
      <w:spacing w:line="700" w:lineRule="atLeast"/>
    </w:pPr>
    <w:rPr>
      <w:sz w:val="28"/>
    </w:rPr>
  </w:style>
  <w:style w:type="paragraph" w:customStyle="1" w:styleId="20">
    <w:name w:val="_Style 7"/>
    <w:basedOn w:val="1"/>
    <w:next w:val="1"/>
    <w:qFormat/>
    <w:uiPriority w:val="0"/>
    <w:pPr>
      <w:snapToGrid w:val="0"/>
      <w:spacing w:line="700" w:lineRule="atLeast"/>
    </w:pPr>
    <w:rPr>
      <w:sz w:val="28"/>
    </w:rPr>
  </w:style>
  <w:style w:type="paragraph" w:customStyle="1" w:styleId="21">
    <w:name w:val="_Style 8"/>
    <w:basedOn w:val="1"/>
    <w:next w:val="4"/>
    <w:uiPriority w:val="0"/>
    <w:pPr>
      <w:snapToGrid w:val="0"/>
      <w:spacing w:line="700" w:lineRule="atLeast"/>
    </w:pPr>
    <w:rPr>
      <w:sz w:val="28"/>
    </w:rPr>
  </w:style>
  <w:style w:type="paragraph" w:customStyle="1" w:styleId="22">
    <w:name w:val="_Style 9"/>
    <w:basedOn w:val="1"/>
    <w:next w:val="1"/>
    <w:qFormat/>
    <w:uiPriority w:val="0"/>
    <w:pPr>
      <w:snapToGrid w:val="0"/>
      <w:spacing w:line="700" w:lineRule="atLeast"/>
    </w:pPr>
    <w:rPr>
      <w:sz w:val="28"/>
    </w:rPr>
  </w:style>
  <w:style w:type="character" w:customStyle="1" w:styleId="23">
    <w:name w:val="页眉 Char"/>
    <w:basedOn w:val="12"/>
    <w:link w:val="10"/>
    <w:uiPriority w:val="0"/>
    <w:rPr>
      <w:rFonts w:ascii="宋体"/>
      <w:kern w:val="2"/>
      <w:sz w:val="18"/>
      <w:szCs w:val="18"/>
    </w:rPr>
  </w:style>
  <w:style w:type="character" w:customStyle="1" w:styleId="24">
    <w:name w:val="页脚 Char"/>
    <w:basedOn w:val="12"/>
    <w:link w:val="9"/>
    <w:uiPriority w:val="0"/>
    <w:rPr>
      <w:rFonts w:ascii="宋体"/>
      <w:kern w:val="2"/>
      <w:sz w:val="18"/>
      <w:szCs w:val="18"/>
    </w:rPr>
  </w:style>
  <w:style w:type="character" w:customStyle="1" w:styleId="25">
    <w:name w:val="批注文字 Char"/>
    <w:basedOn w:val="12"/>
    <w:link w:val="3"/>
    <w:uiPriority w:val="0"/>
    <w:rPr>
      <w:rFonts w:ascii="宋体"/>
      <w:kern w:val="2"/>
      <w:sz w:val="21"/>
    </w:rPr>
  </w:style>
  <w:style w:type="character" w:customStyle="1" w:styleId="26">
    <w:name w:val="批注主题 Char"/>
    <w:basedOn w:val="25"/>
    <w:link w:val="2"/>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broad</Company>
  <Pages>3</Pages>
  <Words>1529</Words>
  <Characters>1592</Characters>
  <Lines>14</Lines>
  <Paragraphs>4</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2013-01-07T02:03:00Z</dcterms:created>
  <dc:creator>work</dc:creator>
  <cp:lastModifiedBy>Administrator</cp:lastModifiedBy>
  <cp:lastPrinted>2015-11-27T03:39:00Z</cp:lastPrinted>
  <dcterms:modified xsi:type="dcterms:W3CDTF">2015-12-28T00:52:18Z</dcterms:modified>
  <dc:title>贺   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