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lang w:val="en-US" w:eastAsia="zh-CN"/>
        </w:rPr>
        <w:t xml:space="preserve"> </w:t>
      </w:r>
      <w:r>
        <w:rPr>
          <w:rFonts w:hint="eastAsia" w:ascii="Times New Roman" w:hAnsi="Times New Roman" w:eastAsia="宋体" w:cs="Times New Roman"/>
          <w:szCs w:val="21"/>
          <w:lang w:val="en-US" w:eastAsia="zh-CN"/>
        </w:rPr>
        <w:t xml:space="preserve">医用臭氧水治疗仪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广五设备询[2025]5号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预算：99000元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lang w:val="en-US" w:eastAsia="zh-CN"/>
              </w:rPr>
              <w:t>医用臭氧水治疗仪</w:t>
            </w:r>
          </w:p>
        </w:tc>
        <w:tc>
          <w:tcPr>
            <w:tcW w:w="1469" w:type="dxa"/>
            <w:vAlign w:val="center"/>
          </w:tcPr>
          <w:p w14:paraId="537A12A0">
            <w:pPr>
              <w:pStyle w:val="19"/>
              <w:jc w:val="center"/>
              <w:rPr>
                <w:rFonts w:hint="default"/>
                <w:lang w:val="en-US" w:eastAsia="zh-CN"/>
              </w:rPr>
            </w:pPr>
            <w:r>
              <w:rPr>
                <w:rFonts w:hint="eastAsia"/>
                <w:lang w:val="en-US" w:eastAsia="zh-CN"/>
              </w:rPr>
              <w:t>1台</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99000</w:t>
            </w:r>
          </w:p>
        </w:tc>
        <w:tc>
          <w:tcPr>
            <w:tcW w:w="993" w:type="dxa"/>
            <w:vAlign w:val="center"/>
          </w:tcPr>
          <w:p w14:paraId="1EA4DC64">
            <w:pPr>
              <w:pStyle w:val="19"/>
              <w:jc w:val="center"/>
              <w:rPr>
                <w:rFonts w:hint="default"/>
                <w:lang w:val="en-US" w:eastAsia="zh-CN"/>
              </w:rPr>
            </w:pPr>
            <w:r>
              <w:rPr>
                <w:rFonts w:hint="eastAsia"/>
                <w:lang w:val="en-US" w:eastAsia="zh-CN"/>
              </w:rPr>
              <w:t>94050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医用臭氧水治疗仪</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1台</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99000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94050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r>
              <w:t>★</w:t>
            </w: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spacing w:val="21"/>
                <w:sz w:val="24"/>
                <w:szCs w:val="32"/>
              </w:rPr>
              <w:t>通过</w:t>
            </w:r>
            <w:r>
              <w:rPr>
                <w:sz w:val="24"/>
                <w:szCs w:val="32"/>
              </w:rPr>
              <w:t>PEM</w:t>
            </w:r>
            <w:r>
              <w:rPr>
                <w:spacing w:val="21"/>
                <w:sz w:val="24"/>
                <w:szCs w:val="32"/>
              </w:rPr>
              <w:t>水电解臭氧发生器生成医用氧气标准的氧源。</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r>
              <w:t>★</w:t>
            </w: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rPr>
            </w:pPr>
            <w:r>
              <w:rPr>
                <w:spacing w:val="16"/>
                <w:sz w:val="24"/>
                <w:szCs w:val="32"/>
              </w:rPr>
              <w:t>臭氧水浓度：</w:t>
            </w:r>
            <w:r>
              <w:rPr>
                <w:spacing w:val="-43"/>
                <w:sz w:val="24"/>
                <w:szCs w:val="32"/>
              </w:rPr>
              <w:t xml:space="preserve"> </w:t>
            </w:r>
            <w:r>
              <w:rPr>
                <w:spacing w:val="16"/>
                <w:sz w:val="24"/>
                <w:szCs w:val="32"/>
              </w:rPr>
              <w:t>≥</w:t>
            </w:r>
            <w:r>
              <w:rPr>
                <w:spacing w:val="16"/>
                <w:sz w:val="24"/>
                <w:szCs w:val="32"/>
                <w:lang w:val="en-US"/>
              </w:rPr>
              <w:t>3</w:t>
            </w:r>
            <w:r>
              <w:rPr>
                <w:spacing w:val="16"/>
                <w:sz w:val="24"/>
                <w:szCs w:val="32"/>
              </w:rPr>
              <w:t>.5</w:t>
            </w:r>
            <w:r>
              <w:rPr>
                <w:sz w:val="24"/>
                <w:szCs w:val="32"/>
              </w:rPr>
              <w:t>mg</w:t>
            </w:r>
            <w:r>
              <w:rPr>
                <w:spacing w:val="16"/>
                <w:sz w:val="24"/>
                <w:szCs w:val="32"/>
              </w:rPr>
              <w:t>/L</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spacing w:val="18"/>
                <w:sz w:val="24"/>
                <w:szCs w:val="32"/>
              </w:rPr>
              <w:t>具备流量调节开关</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2757D75A">
            <w:pPr>
              <w:pStyle w:val="19"/>
              <w:spacing w:line="276" w:lineRule="auto"/>
              <w:jc w:val="both"/>
              <w:rPr>
                <w:rFonts w:hint="eastAsia" w:ascii="Times New Roman" w:hAnsi="Times New Roman" w:cs="Times New Roman" w:eastAsiaTheme="minorEastAsia"/>
                <w:szCs w:val="21"/>
                <w:lang w:val="en-US" w:eastAsia="zh-CN"/>
              </w:rPr>
            </w:pPr>
            <w:r>
              <w:rPr>
                <w:spacing w:val="19"/>
                <w:sz w:val="24"/>
                <w:szCs w:val="32"/>
              </w:rPr>
              <w:t>设备工作时间：</w:t>
            </w:r>
            <w:r>
              <w:rPr>
                <w:spacing w:val="-65"/>
                <w:sz w:val="24"/>
                <w:szCs w:val="32"/>
              </w:rPr>
              <w:t xml:space="preserve"> </w:t>
            </w:r>
            <w:r>
              <w:rPr>
                <w:spacing w:val="19"/>
                <w:sz w:val="24"/>
                <w:szCs w:val="32"/>
              </w:rPr>
              <w:t>持续不间断不限时的供</w:t>
            </w:r>
            <w:r>
              <w:rPr>
                <w:spacing w:val="18"/>
                <w:sz w:val="24"/>
                <w:szCs w:val="32"/>
              </w:rPr>
              <w:t>医用臭氧水</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Times New Roman" w:hAnsi="Times New Roman" w:eastAsia="宋体" w:cs="Times New Roman"/>
                <w:szCs w:val="21"/>
                <w:lang w:val="en-US" w:eastAsia="zh-CN"/>
              </w:rPr>
            </w:pPr>
            <w:r>
              <w:rPr>
                <w:spacing w:val="20"/>
                <w:sz w:val="24"/>
                <w:szCs w:val="32"/>
              </w:rPr>
              <w:t>当进水口水流量低于300</w:t>
            </w:r>
            <w:r>
              <w:rPr>
                <w:sz w:val="24"/>
                <w:szCs w:val="32"/>
              </w:rPr>
              <w:t>ml</w:t>
            </w:r>
            <w:r>
              <w:rPr>
                <w:spacing w:val="20"/>
                <w:sz w:val="24"/>
                <w:szCs w:val="32"/>
              </w:rPr>
              <w:t>/</w:t>
            </w:r>
            <w:r>
              <w:rPr>
                <w:sz w:val="24"/>
                <w:szCs w:val="32"/>
              </w:rPr>
              <w:t>min</w:t>
            </w:r>
            <w:r>
              <w:rPr>
                <w:spacing w:val="20"/>
                <w:sz w:val="24"/>
                <w:szCs w:val="32"/>
              </w:rPr>
              <w:t>时,具有保护控制功能</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spacing w:val="19"/>
                <w:sz w:val="24"/>
                <w:szCs w:val="32"/>
              </w:rPr>
              <w:t>治疗头堵塞时具有保护控制功能</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spacing w:val="14"/>
                <w:sz w:val="24"/>
                <w:szCs w:val="32"/>
              </w:rPr>
              <w:t>具备过18-45</w:t>
            </w:r>
            <w:r>
              <w:rPr>
                <w:spacing w:val="-59"/>
                <w:sz w:val="24"/>
                <w:szCs w:val="32"/>
              </w:rPr>
              <w:t xml:space="preserve"> </w:t>
            </w:r>
            <w:r>
              <w:rPr>
                <w:spacing w:val="14"/>
                <w:sz w:val="24"/>
                <w:szCs w:val="32"/>
              </w:rPr>
              <w:t>°</w:t>
            </w:r>
            <w:r>
              <w:rPr>
                <w:spacing w:val="-89"/>
                <w:sz w:val="24"/>
                <w:szCs w:val="32"/>
              </w:rPr>
              <w:t xml:space="preserve"> </w:t>
            </w:r>
            <w:r>
              <w:rPr>
                <w:spacing w:val="14"/>
                <w:sz w:val="24"/>
                <w:szCs w:val="32"/>
              </w:rPr>
              <w:t>C过温保护和超温异常提示功能</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spacing w:val="20"/>
                <w:sz w:val="24"/>
                <w:szCs w:val="32"/>
              </w:rPr>
              <w:t>具备低水位时自动补水及补水异常提示功能</w:t>
            </w:r>
          </w:p>
        </w:tc>
      </w:tr>
      <w:tr w14:paraId="2F7FE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05B275E">
            <w:pPr>
              <w:pStyle w:val="19"/>
              <w:spacing w:line="276" w:lineRule="auto"/>
              <w:jc w:val="center"/>
              <w:rPr>
                <w:rFonts w:ascii="宋体" w:hAnsi="宋体" w:eastAsia="宋体" w:cs="宋体"/>
                <w:sz w:val="21"/>
                <w:szCs w:val="21"/>
              </w:rPr>
            </w:pPr>
          </w:p>
        </w:tc>
        <w:tc>
          <w:tcPr>
            <w:tcW w:w="709" w:type="dxa"/>
            <w:vAlign w:val="center"/>
          </w:tcPr>
          <w:p w14:paraId="411AB19F">
            <w:pPr>
              <w:pStyle w:val="19"/>
              <w:spacing w:line="276" w:lineRule="auto"/>
              <w:jc w:val="center"/>
              <w:rPr>
                <w:rFonts w:hint="eastAsia" w:eastAsiaTheme="minorEastAsia"/>
                <w:lang w:val="en-US" w:eastAsia="zh-CN"/>
              </w:rPr>
            </w:pPr>
            <w:r>
              <w:rPr>
                <w:rFonts w:hint="eastAsia"/>
                <w:lang w:val="en-US" w:eastAsia="zh-CN"/>
              </w:rPr>
              <w:t>9</w:t>
            </w:r>
          </w:p>
        </w:tc>
        <w:tc>
          <w:tcPr>
            <w:tcW w:w="6922" w:type="dxa"/>
            <w:vAlign w:val="center"/>
          </w:tcPr>
          <w:p w14:paraId="1063E122">
            <w:pPr>
              <w:pStyle w:val="19"/>
              <w:spacing w:line="276" w:lineRule="auto"/>
              <w:jc w:val="both"/>
              <w:rPr>
                <w:rFonts w:hint="eastAsia" w:ascii="宋体" w:hAnsi="宋体"/>
                <w:sz w:val="21"/>
                <w:szCs w:val="21"/>
                <w:u w:val="none"/>
              </w:rPr>
            </w:pPr>
            <w:r>
              <w:rPr>
                <w:spacing w:val="17"/>
                <w:sz w:val="24"/>
                <w:szCs w:val="32"/>
              </w:rPr>
              <w:t>配有耐臭氧材质的出水软管</w:t>
            </w:r>
          </w:p>
        </w:tc>
      </w:tr>
      <w:tr w14:paraId="679AD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B1B688">
            <w:pPr>
              <w:pStyle w:val="19"/>
              <w:spacing w:line="276" w:lineRule="auto"/>
              <w:jc w:val="center"/>
              <w:rPr>
                <w:rFonts w:ascii="宋体" w:hAnsi="宋体" w:eastAsia="宋体" w:cs="宋体"/>
                <w:sz w:val="21"/>
                <w:szCs w:val="21"/>
              </w:rPr>
            </w:pPr>
            <w:r>
              <w:t>★</w:t>
            </w:r>
          </w:p>
        </w:tc>
        <w:tc>
          <w:tcPr>
            <w:tcW w:w="709" w:type="dxa"/>
            <w:vAlign w:val="center"/>
          </w:tcPr>
          <w:p w14:paraId="16CA07DC">
            <w:pPr>
              <w:pStyle w:val="19"/>
              <w:spacing w:line="276" w:lineRule="auto"/>
              <w:jc w:val="center"/>
              <w:rPr>
                <w:rFonts w:hint="default" w:eastAsiaTheme="minorEastAsia"/>
                <w:lang w:val="en-US" w:eastAsia="zh-CN"/>
              </w:rPr>
            </w:pPr>
            <w:r>
              <w:rPr>
                <w:rFonts w:hint="eastAsia"/>
                <w:lang w:val="en-US" w:eastAsia="zh-CN"/>
              </w:rPr>
              <w:t>10</w:t>
            </w:r>
          </w:p>
        </w:tc>
        <w:tc>
          <w:tcPr>
            <w:tcW w:w="6922" w:type="dxa"/>
            <w:vAlign w:val="center"/>
          </w:tcPr>
          <w:p w14:paraId="22D3D0F3">
            <w:pPr>
              <w:pStyle w:val="19"/>
              <w:spacing w:line="276" w:lineRule="auto"/>
              <w:jc w:val="both"/>
              <w:rPr>
                <w:rFonts w:hint="eastAsia" w:ascii="宋体" w:hAnsi="宋体"/>
                <w:sz w:val="21"/>
                <w:szCs w:val="21"/>
                <w:u w:val="none"/>
                <w:lang w:val="en-US" w:eastAsia="zh-CN"/>
              </w:rPr>
            </w:pPr>
            <w:r>
              <w:rPr>
                <w:spacing w:val="15"/>
                <w:sz w:val="24"/>
                <w:szCs w:val="32"/>
              </w:rPr>
              <w:t>设备内置消臭氧装置，</w:t>
            </w:r>
            <w:r>
              <w:rPr>
                <w:spacing w:val="-62"/>
                <w:sz w:val="24"/>
                <w:szCs w:val="32"/>
              </w:rPr>
              <w:t xml:space="preserve"> </w:t>
            </w:r>
            <w:r>
              <w:rPr>
                <w:spacing w:val="15"/>
                <w:sz w:val="24"/>
                <w:szCs w:val="32"/>
              </w:rPr>
              <w:t>0尾气排放，</w:t>
            </w:r>
            <w:r>
              <w:rPr>
                <w:spacing w:val="-63"/>
                <w:sz w:val="24"/>
                <w:szCs w:val="32"/>
              </w:rPr>
              <w:t xml:space="preserve"> </w:t>
            </w:r>
            <w:r>
              <w:rPr>
                <w:spacing w:val="15"/>
                <w:sz w:val="24"/>
                <w:szCs w:val="32"/>
              </w:rPr>
              <w:t>无需安装外置排气管。</w:t>
            </w:r>
          </w:p>
        </w:tc>
      </w:tr>
      <w:tr w14:paraId="6323C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D35404E">
            <w:pPr>
              <w:pStyle w:val="19"/>
              <w:spacing w:line="276" w:lineRule="auto"/>
              <w:jc w:val="center"/>
              <w:rPr>
                <w:rFonts w:ascii="宋体" w:hAnsi="宋体" w:eastAsia="宋体" w:cs="宋体"/>
                <w:sz w:val="21"/>
                <w:szCs w:val="21"/>
              </w:rPr>
            </w:pPr>
          </w:p>
        </w:tc>
        <w:tc>
          <w:tcPr>
            <w:tcW w:w="709" w:type="dxa"/>
            <w:vAlign w:val="center"/>
          </w:tcPr>
          <w:p w14:paraId="34C77E3C">
            <w:pPr>
              <w:pStyle w:val="19"/>
              <w:spacing w:line="276" w:lineRule="auto"/>
              <w:jc w:val="center"/>
              <w:rPr>
                <w:rFonts w:hint="default" w:eastAsiaTheme="minorEastAsia"/>
                <w:lang w:val="en-US" w:eastAsia="zh-CN"/>
              </w:rPr>
            </w:pPr>
            <w:r>
              <w:rPr>
                <w:rFonts w:hint="eastAsia"/>
                <w:lang w:val="en-US" w:eastAsia="zh-CN"/>
              </w:rPr>
              <w:t>11</w:t>
            </w:r>
          </w:p>
        </w:tc>
        <w:tc>
          <w:tcPr>
            <w:tcW w:w="6922" w:type="dxa"/>
            <w:vAlign w:val="center"/>
          </w:tcPr>
          <w:p w14:paraId="52E89F34">
            <w:pPr>
              <w:pStyle w:val="19"/>
              <w:spacing w:line="276" w:lineRule="auto"/>
              <w:jc w:val="both"/>
              <w:rPr>
                <w:rFonts w:hint="eastAsia" w:ascii="宋体" w:hAnsi="宋体"/>
                <w:sz w:val="21"/>
                <w:szCs w:val="21"/>
                <w:u w:val="none"/>
                <w:lang w:val="en-US" w:eastAsia="zh-CN"/>
              </w:rPr>
            </w:pPr>
            <w:r>
              <w:rPr>
                <w:spacing w:val="17"/>
                <w:sz w:val="24"/>
                <w:szCs w:val="32"/>
              </w:rPr>
              <w:t>具备耐臭氧材质的螺旋管气液混合装置</w:t>
            </w:r>
          </w:p>
        </w:tc>
      </w:tr>
      <w:tr w14:paraId="498F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A8C469">
            <w:pPr>
              <w:pStyle w:val="19"/>
              <w:spacing w:line="276" w:lineRule="auto"/>
              <w:jc w:val="center"/>
              <w:rPr>
                <w:rFonts w:ascii="宋体" w:hAnsi="宋体" w:eastAsia="宋体" w:cs="宋体"/>
                <w:sz w:val="21"/>
                <w:szCs w:val="21"/>
              </w:rPr>
            </w:pPr>
          </w:p>
        </w:tc>
        <w:tc>
          <w:tcPr>
            <w:tcW w:w="709" w:type="dxa"/>
            <w:vAlign w:val="center"/>
          </w:tcPr>
          <w:p w14:paraId="21E3927F">
            <w:pPr>
              <w:pStyle w:val="19"/>
              <w:spacing w:line="276" w:lineRule="auto"/>
              <w:jc w:val="center"/>
              <w:rPr>
                <w:rFonts w:hint="default" w:eastAsiaTheme="minorEastAsia"/>
                <w:lang w:val="en-US" w:eastAsia="zh-CN"/>
              </w:rPr>
            </w:pPr>
            <w:r>
              <w:rPr>
                <w:rFonts w:hint="eastAsia"/>
                <w:lang w:val="en-US" w:eastAsia="zh-CN"/>
              </w:rPr>
              <w:t>12</w:t>
            </w:r>
          </w:p>
        </w:tc>
        <w:tc>
          <w:tcPr>
            <w:tcW w:w="6922" w:type="dxa"/>
            <w:vAlign w:val="center"/>
          </w:tcPr>
          <w:p w14:paraId="0EB031A3">
            <w:pPr>
              <w:pStyle w:val="19"/>
              <w:spacing w:line="276" w:lineRule="auto"/>
              <w:jc w:val="both"/>
              <w:rPr>
                <w:rFonts w:hint="eastAsia" w:ascii="宋体" w:hAnsi="宋体"/>
                <w:sz w:val="21"/>
                <w:szCs w:val="21"/>
                <w:u w:val="none"/>
                <w:lang w:val="en-US" w:eastAsia="zh-CN"/>
              </w:rPr>
            </w:pPr>
            <w:r>
              <w:rPr>
                <w:spacing w:val="17"/>
                <w:sz w:val="24"/>
                <w:szCs w:val="32"/>
              </w:rPr>
              <w:t>治疗仪中臭氧水出水压力应≦0.0</w:t>
            </w:r>
            <w:r>
              <w:rPr>
                <w:rFonts w:hint="eastAsia"/>
                <w:spacing w:val="17"/>
                <w:sz w:val="24"/>
                <w:szCs w:val="32"/>
                <w:lang w:val="en-US" w:eastAsia="zh-CN"/>
              </w:rPr>
              <w:t>2</w:t>
            </w:r>
            <w:r>
              <w:rPr>
                <w:sz w:val="24"/>
                <w:szCs w:val="32"/>
              </w:rPr>
              <w:t>MPa</w:t>
            </w:r>
          </w:p>
        </w:tc>
      </w:tr>
      <w:tr w14:paraId="5CD8F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3C01B2B">
            <w:pPr>
              <w:pStyle w:val="19"/>
              <w:spacing w:line="276" w:lineRule="auto"/>
              <w:jc w:val="center"/>
              <w:rPr>
                <w:rFonts w:ascii="宋体" w:hAnsi="宋体" w:eastAsia="宋体" w:cs="宋体"/>
                <w:sz w:val="21"/>
                <w:szCs w:val="21"/>
              </w:rPr>
            </w:pPr>
          </w:p>
        </w:tc>
        <w:tc>
          <w:tcPr>
            <w:tcW w:w="709" w:type="dxa"/>
            <w:vAlign w:val="center"/>
          </w:tcPr>
          <w:p w14:paraId="0A61F3CB">
            <w:pPr>
              <w:pStyle w:val="19"/>
              <w:spacing w:line="276" w:lineRule="auto"/>
              <w:jc w:val="center"/>
              <w:rPr>
                <w:rFonts w:hint="default" w:eastAsiaTheme="minorEastAsia"/>
                <w:lang w:val="en-US" w:eastAsia="zh-CN"/>
              </w:rPr>
            </w:pPr>
            <w:r>
              <w:rPr>
                <w:rFonts w:hint="eastAsia"/>
                <w:lang w:val="en-US" w:eastAsia="zh-CN"/>
              </w:rPr>
              <w:t>13</w:t>
            </w:r>
          </w:p>
        </w:tc>
        <w:tc>
          <w:tcPr>
            <w:tcW w:w="6922" w:type="dxa"/>
            <w:vAlign w:val="center"/>
          </w:tcPr>
          <w:p w14:paraId="5C6B3956">
            <w:pPr>
              <w:pStyle w:val="19"/>
              <w:spacing w:line="276" w:lineRule="auto"/>
              <w:jc w:val="both"/>
              <w:rPr>
                <w:rFonts w:hint="eastAsia" w:ascii="宋体" w:hAnsi="宋体"/>
                <w:sz w:val="21"/>
                <w:szCs w:val="21"/>
                <w:u w:val="none"/>
                <w:lang w:val="en-US" w:eastAsia="zh-CN"/>
              </w:rPr>
            </w:pPr>
            <w:r>
              <w:rPr>
                <w:spacing w:val="17"/>
                <w:sz w:val="24"/>
                <w:szCs w:val="32"/>
              </w:rPr>
              <w:t>正常运行时噪声≤60</w:t>
            </w:r>
            <w:r>
              <w:rPr>
                <w:sz w:val="24"/>
                <w:szCs w:val="32"/>
              </w:rPr>
              <w:t>dB</w:t>
            </w:r>
          </w:p>
        </w:tc>
      </w:tr>
      <w:tr w14:paraId="3677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9A0E285">
            <w:pPr>
              <w:pStyle w:val="19"/>
              <w:spacing w:line="276" w:lineRule="auto"/>
              <w:jc w:val="center"/>
              <w:rPr>
                <w:rFonts w:ascii="宋体" w:hAnsi="宋体" w:eastAsia="宋体" w:cs="宋体"/>
                <w:sz w:val="21"/>
                <w:szCs w:val="21"/>
              </w:rPr>
            </w:pPr>
          </w:p>
        </w:tc>
        <w:tc>
          <w:tcPr>
            <w:tcW w:w="709" w:type="dxa"/>
            <w:vAlign w:val="center"/>
          </w:tcPr>
          <w:p w14:paraId="2F70BAEA">
            <w:pPr>
              <w:pStyle w:val="19"/>
              <w:spacing w:line="276" w:lineRule="auto"/>
              <w:jc w:val="center"/>
              <w:rPr>
                <w:rFonts w:hint="default" w:eastAsiaTheme="minorEastAsia"/>
                <w:lang w:val="en-US" w:eastAsia="zh-CN"/>
              </w:rPr>
            </w:pPr>
            <w:r>
              <w:rPr>
                <w:rFonts w:hint="eastAsia"/>
                <w:lang w:val="en-US" w:eastAsia="zh-CN"/>
              </w:rPr>
              <w:t>14</w:t>
            </w:r>
          </w:p>
        </w:tc>
        <w:tc>
          <w:tcPr>
            <w:tcW w:w="6922" w:type="dxa"/>
            <w:vAlign w:val="center"/>
          </w:tcPr>
          <w:p w14:paraId="50BBAF1D">
            <w:pPr>
              <w:pStyle w:val="19"/>
              <w:spacing w:line="276" w:lineRule="auto"/>
              <w:jc w:val="both"/>
              <w:rPr>
                <w:rFonts w:hint="eastAsia" w:ascii="宋体" w:hAnsi="宋体"/>
                <w:sz w:val="21"/>
                <w:szCs w:val="21"/>
                <w:u w:val="none"/>
                <w:lang w:val="en-US" w:eastAsia="zh-CN"/>
              </w:rPr>
            </w:pPr>
            <w:r>
              <w:rPr>
                <w:spacing w:val="15"/>
                <w:sz w:val="24"/>
                <w:szCs w:val="32"/>
              </w:rPr>
              <w:t>具有实时显示管道自动消毒</w:t>
            </w:r>
            <w:r>
              <w:rPr>
                <w:spacing w:val="-52"/>
                <w:sz w:val="24"/>
                <w:szCs w:val="32"/>
              </w:rPr>
              <w:t xml:space="preserve"> </w:t>
            </w:r>
            <w:r>
              <w:rPr>
                <w:spacing w:val="17"/>
                <w:sz w:val="24"/>
                <w:szCs w:val="32"/>
              </w:rPr>
              <w:t>≤</w:t>
            </w:r>
            <w:r>
              <w:rPr>
                <w:rFonts w:hint="eastAsia"/>
                <w:spacing w:val="15"/>
                <w:sz w:val="24"/>
                <w:szCs w:val="32"/>
                <w:lang w:val="en-US" w:eastAsia="zh-CN"/>
              </w:rPr>
              <w:t>60</w:t>
            </w:r>
            <w:r>
              <w:rPr>
                <w:spacing w:val="15"/>
                <w:sz w:val="24"/>
                <w:szCs w:val="32"/>
              </w:rPr>
              <w:t>s倒计时功能</w:t>
            </w:r>
          </w:p>
        </w:tc>
      </w:tr>
      <w:tr w14:paraId="23D0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2859540">
            <w:pPr>
              <w:pStyle w:val="19"/>
              <w:spacing w:line="276" w:lineRule="auto"/>
              <w:jc w:val="center"/>
              <w:rPr>
                <w:rFonts w:ascii="宋体" w:hAnsi="宋体" w:eastAsia="宋体" w:cs="宋体"/>
                <w:sz w:val="21"/>
                <w:szCs w:val="21"/>
              </w:rPr>
            </w:pPr>
            <w:r>
              <w:t>★</w:t>
            </w:r>
          </w:p>
        </w:tc>
        <w:tc>
          <w:tcPr>
            <w:tcW w:w="709" w:type="dxa"/>
            <w:vAlign w:val="center"/>
          </w:tcPr>
          <w:p w14:paraId="3601BD37">
            <w:pPr>
              <w:pStyle w:val="19"/>
              <w:spacing w:line="276" w:lineRule="auto"/>
              <w:jc w:val="center"/>
              <w:rPr>
                <w:rFonts w:hint="default"/>
                <w:lang w:val="en-US" w:eastAsia="zh-CN"/>
              </w:rPr>
            </w:pPr>
            <w:r>
              <w:rPr>
                <w:rFonts w:hint="eastAsia"/>
                <w:lang w:val="en-US" w:eastAsia="zh-CN"/>
              </w:rPr>
              <w:t>15</w:t>
            </w:r>
          </w:p>
        </w:tc>
        <w:tc>
          <w:tcPr>
            <w:tcW w:w="6922" w:type="dxa"/>
            <w:vAlign w:val="center"/>
          </w:tcPr>
          <w:p w14:paraId="777A2491">
            <w:pPr>
              <w:pStyle w:val="19"/>
              <w:spacing w:line="276" w:lineRule="auto"/>
              <w:jc w:val="both"/>
              <w:rPr>
                <w:spacing w:val="15"/>
                <w:sz w:val="24"/>
                <w:szCs w:val="32"/>
              </w:rPr>
            </w:pPr>
            <w:r>
              <w:rPr>
                <w:spacing w:val="15"/>
                <w:sz w:val="24"/>
                <w:szCs w:val="32"/>
              </w:rPr>
              <w:t>具有实时显示余液清除</w:t>
            </w:r>
            <w:r>
              <w:rPr>
                <w:spacing w:val="-45"/>
                <w:sz w:val="24"/>
                <w:szCs w:val="32"/>
              </w:rPr>
              <w:t xml:space="preserve"> </w:t>
            </w:r>
            <w:r>
              <w:rPr>
                <w:spacing w:val="17"/>
                <w:sz w:val="24"/>
                <w:szCs w:val="32"/>
              </w:rPr>
              <w:t>≤</w:t>
            </w:r>
            <w:r>
              <w:rPr>
                <w:rFonts w:hint="eastAsia"/>
                <w:spacing w:val="15"/>
                <w:sz w:val="24"/>
                <w:szCs w:val="32"/>
                <w:lang w:val="en-US" w:eastAsia="zh-CN"/>
              </w:rPr>
              <w:t>30</w:t>
            </w:r>
            <w:r>
              <w:rPr>
                <w:spacing w:val="15"/>
                <w:sz w:val="24"/>
                <w:szCs w:val="32"/>
              </w:rPr>
              <w:t>s倒计时功能</w:t>
            </w:r>
          </w:p>
        </w:tc>
      </w:tr>
      <w:tr w14:paraId="2FA3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390D86">
            <w:pPr>
              <w:pStyle w:val="19"/>
              <w:spacing w:line="276" w:lineRule="auto"/>
              <w:jc w:val="center"/>
              <w:rPr>
                <w:rFonts w:ascii="宋体" w:hAnsi="宋体" w:eastAsia="宋体" w:cs="宋体"/>
                <w:sz w:val="21"/>
                <w:szCs w:val="21"/>
              </w:rPr>
            </w:pPr>
          </w:p>
        </w:tc>
        <w:tc>
          <w:tcPr>
            <w:tcW w:w="709" w:type="dxa"/>
            <w:vAlign w:val="center"/>
          </w:tcPr>
          <w:p w14:paraId="3CEDDA53">
            <w:pPr>
              <w:pStyle w:val="19"/>
              <w:spacing w:line="276" w:lineRule="auto"/>
              <w:jc w:val="center"/>
              <w:rPr>
                <w:rFonts w:hint="default" w:eastAsiaTheme="minorEastAsia"/>
                <w:lang w:val="en-US" w:eastAsia="zh-CN"/>
              </w:rPr>
            </w:pPr>
            <w:r>
              <w:rPr>
                <w:rFonts w:hint="eastAsia"/>
                <w:lang w:val="en-US" w:eastAsia="zh-CN"/>
              </w:rPr>
              <w:t>16</w:t>
            </w:r>
          </w:p>
        </w:tc>
        <w:tc>
          <w:tcPr>
            <w:tcW w:w="6922" w:type="dxa"/>
            <w:vAlign w:val="center"/>
          </w:tcPr>
          <w:p w14:paraId="5FA1451F">
            <w:pPr>
              <w:pStyle w:val="19"/>
              <w:spacing w:line="276" w:lineRule="auto"/>
              <w:jc w:val="both"/>
              <w:rPr>
                <w:rFonts w:hint="eastAsia" w:ascii="宋体" w:hAnsi="宋体"/>
                <w:sz w:val="21"/>
                <w:szCs w:val="21"/>
                <w:u w:val="none"/>
                <w:lang w:val="en-US" w:eastAsia="zh-CN"/>
              </w:rPr>
            </w:pPr>
            <w:r>
              <w:rPr>
                <w:spacing w:val="15"/>
                <w:sz w:val="24"/>
                <w:szCs w:val="32"/>
              </w:rPr>
              <w:t>治疗时间设定：</w:t>
            </w:r>
            <w:r>
              <w:rPr>
                <w:spacing w:val="-54"/>
                <w:sz w:val="24"/>
                <w:szCs w:val="32"/>
              </w:rPr>
              <w:t xml:space="preserve"> </w:t>
            </w:r>
            <w:r>
              <w:rPr>
                <w:spacing w:val="15"/>
                <w:sz w:val="24"/>
                <w:szCs w:val="32"/>
              </w:rPr>
              <w:t>0-30</w:t>
            </w:r>
            <w:r>
              <w:rPr>
                <w:sz w:val="24"/>
                <w:szCs w:val="32"/>
              </w:rPr>
              <w:t>min</w:t>
            </w:r>
            <w:r>
              <w:rPr>
                <w:spacing w:val="15"/>
                <w:sz w:val="24"/>
                <w:szCs w:val="32"/>
              </w:rPr>
              <w:t>，步进1</w:t>
            </w:r>
            <w:r>
              <w:rPr>
                <w:sz w:val="24"/>
                <w:szCs w:val="32"/>
              </w:rPr>
              <w:t>min</w:t>
            </w:r>
            <w:r>
              <w:rPr>
                <w:spacing w:val="15"/>
                <w:sz w:val="24"/>
                <w:szCs w:val="32"/>
              </w:rPr>
              <w:t>的实时显示功能</w:t>
            </w:r>
          </w:p>
        </w:tc>
      </w:tr>
      <w:tr w14:paraId="6169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E3CFB8">
            <w:pPr>
              <w:pStyle w:val="19"/>
              <w:spacing w:line="276" w:lineRule="auto"/>
              <w:jc w:val="center"/>
            </w:pPr>
          </w:p>
        </w:tc>
        <w:tc>
          <w:tcPr>
            <w:tcW w:w="709" w:type="dxa"/>
            <w:vAlign w:val="center"/>
          </w:tcPr>
          <w:p w14:paraId="4AC460A7">
            <w:pPr>
              <w:pStyle w:val="19"/>
              <w:spacing w:line="276" w:lineRule="auto"/>
              <w:jc w:val="center"/>
              <w:rPr>
                <w:rFonts w:hint="default"/>
                <w:lang w:val="en-US" w:eastAsia="zh-CN"/>
              </w:rPr>
            </w:pPr>
            <w:r>
              <w:rPr>
                <w:rFonts w:hint="eastAsia"/>
                <w:lang w:val="en-US" w:eastAsia="zh-CN"/>
              </w:rPr>
              <w:t>17</w:t>
            </w:r>
          </w:p>
        </w:tc>
        <w:tc>
          <w:tcPr>
            <w:tcW w:w="6922" w:type="dxa"/>
            <w:vAlign w:val="center"/>
          </w:tcPr>
          <w:p w14:paraId="4DAC1E38">
            <w:pPr>
              <w:pStyle w:val="19"/>
              <w:spacing w:line="276" w:lineRule="auto"/>
              <w:jc w:val="both"/>
              <w:rPr>
                <w:rFonts w:hint="default" w:ascii="宋体" w:hAnsi="宋体"/>
                <w:sz w:val="21"/>
                <w:szCs w:val="21"/>
                <w:u w:val="none"/>
                <w:lang w:val="en-US" w:eastAsia="zh-CN"/>
              </w:rPr>
            </w:pPr>
            <w:r>
              <w:rPr>
                <w:spacing w:val="16"/>
                <w:sz w:val="24"/>
                <w:szCs w:val="32"/>
              </w:rPr>
              <w:t>控制面板上具有治疗时间快速按键</w:t>
            </w:r>
          </w:p>
        </w:tc>
      </w:tr>
      <w:tr w14:paraId="7B3F2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138E72C">
            <w:pPr>
              <w:pStyle w:val="19"/>
              <w:spacing w:line="276" w:lineRule="auto"/>
              <w:jc w:val="center"/>
            </w:pPr>
          </w:p>
        </w:tc>
        <w:tc>
          <w:tcPr>
            <w:tcW w:w="709" w:type="dxa"/>
            <w:vAlign w:val="center"/>
          </w:tcPr>
          <w:p w14:paraId="2B26A41E">
            <w:pPr>
              <w:pStyle w:val="19"/>
              <w:spacing w:line="276" w:lineRule="auto"/>
              <w:jc w:val="center"/>
              <w:rPr>
                <w:rFonts w:hint="default"/>
                <w:lang w:val="en-US" w:eastAsia="zh-CN"/>
              </w:rPr>
            </w:pPr>
            <w:r>
              <w:rPr>
                <w:rFonts w:hint="eastAsia"/>
                <w:lang w:val="en-US" w:eastAsia="zh-CN"/>
              </w:rPr>
              <w:t>18</w:t>
            </w:r>
          </w:p>
        </w:tc>
        <w:tc>
          <w:tcPr>
            <w:tcW w:w="6922" w:type="dxa"/>
            <w:vAlign w:val="center"/>
          </w:tcPr>
          <w:p w14:paraId="67B5D652">
            <w:pPr>
              <w:pStyle w:val="19"/>
              <w:spacing w:line="276" w:lineRule="auto"/>
              <w:jc w:val="both"/>
              <w:rPr>
                <w:spacing w:val="16"/>
                <w:sz w:val="24"/>
                <w:szCs w:val="32"/>
              </w:rPr>
            </w:pPr>
            <w:r>
              <w:rPr>
                <w:spacing w:val="19"/>
                <w:sz w:val="24"/>
                <w:szCs w:val="32"/>
              </w:rPr>
              <w:t>设备具有实时</w:t>
            </w:r>
            <w:r>
              <w:rPr>
                <w:rFonts w:hint="eastAsia"/>
                <w:spacing w:val="19"/>
                <w:sz w:val="24"/>
                <w:szCs w:val="32"/>
                <w:lang w:val="en-US" w:eastAsia="zh-CN"/>
              </w:rPr>
              <w:t>显示治疗时间和治疗时间倒计时</w:t>
            </w:r>
            <w:r>
              <w:rPr>
                <w:spacing w:val="19"/>
                <w:sz w:val="24"/>
                <w:szCs w:val="32"/>
              </w:rPr>
              <w:t>功能</w:t>
            </w:r>
          </w:p>
        </w:tc>
      </w:tr>
      <w:tr w14:paraId="76767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9BCD2AF">
            <w:pPr>
              <w:pStyle w:val="19"/>
              <w:spacing w:line="276" w:lineRule="auto"/>
              <w:jc w:val="center"/>
            </w:pPr>
          </w:p>
        </w:tc>
        <w:tc>
          <w:tcPr>
            <w:tcW w:w="709" w:type="dxa"/>
            <w:vAlign w:val="center"/>
          </w:tcPr>
          <w:p w14:paraId="0A4A0D50">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16839398">
            <w:pPr>
              <w:pStyle w:val="19"/>
              <w:spacing w:line="276" w:lineRule="auto"/>
              <w:jc w:val="both"/>
              <w:rPr>
                <w:spacing w:val="16"/>
                <w:sz w:val="24"/>
                <w:szCs w:val="32"/>
              </w:rPr>
            </w:pPr>
            <w:r>
              <w:rPr>
                <w:sz w:val="24"/>
                <w:szCs w:val="32"/>
              </w:rPr>
              <w:t>水电分离</w:t>
            </w:r>
            <w:r>
              <w:rPr>
                <w:rFonts w:hint="eastAsia"/>
                <w:sz w:val="24"/>
                <w:szCs w:val="32"/>
                <w:lang w:val="en-US" w:eastAsia="zh-CN"/>
              </w:rPr>
              <w:t>设计</w:t>
            </w:r>
            <w:r>
              <w:rPr>
                <w:rFonts w:hint="eastAsia"/>
                <w:sz w:val="24"/>
                <w:szCs w:val="32"/>
                <w:lang w:eastAsia="zh-CN"/>
              </w:rPr>
              <w:t>，</w:t>
            </w:r>
            <w:r>
              <w:rPr>
                <w:sz w:val="24"/>
                <w:szCs w:val="32"/>
              </w:rPr>
              <w:t>安全的防漏电保护装</w:t>
            </w:r>
            <w:bookmarkStart w:id="5" w:name="_GoBack"/>
            <w:bookmarkEnd w:id="5"/>
            <w:r>
              <w:rPr>
                <w:sz w:val="24"/>
                <w:szCs w:val="32"/>
              </w:rPr>
              <w:t>置</w:t>
            </w:r>
            <w:r>
              <w:rPr>
                <w:rFonts w:hint="eastAsia"/>
                <w:sz w:val="24"/>
                <w:szCs w:val="32"/>
                <w:lang w:eastAsia="zh-CN"/>
              </w:rPr>
              <w:t>，</w:t>
            </w:r>
            <w:r>
              <w:rPr>
                <w:sz w:val="24"/>
                <w:szCs w:val="32"/>
              </w:rPr>
              <w:t>安全符合最新国际GB9706.1-2020标准要求</w:t>
            </w:r>
          </w:p>
        </w:tc>
      </w:tr>
      <w:tr w14:paraId="0D1C9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25B503D">
            <w:pPr>
              <w:pStyle w:val="19"/>
              <w:spacing w:line="276" w:lineRule="auto"/>
              <w:jc w:val="center"/>
            </w:pPr>
          </w:p>
        </w:tc>
        <w:tc>
          <w:tcPr>
            <w:tcW w:w="709" w:type="dxa"/>
            <w:vAlign w:val="center"/>
          </w:tcPr>
          <w:p w14:paraId="3E189D98">
            <w:pPr>
              <w:pStyle w:val="19"/>
              <w:spacing w:line="276" w:lineRule="auto"/>
              <w:jc w:val="center"/>
              <w:rPr>
                <w:rFonts w:hint="default"/>
                <w:lang w:val="en-US" w:eastAsia="zh-CN"/>
              </w:rPr>
            </w:pPr>
            <w:r>
              <w:rPr>
                <w:rFonts w:hint="eastAsia"/>
                <w:lang w:val="en-US" w:eastAsia="zh-CN"/>
              </w:rPr>
              <w:t>20</w:t>
            </w:r>
          </w:p>
        </w:tc>
        <w:tc>
          <w:tcPr>
            <w:tcW w:w="6922" w:type="dxa"/>
            <w:vAlign w:val="center"/>
          </w:tcPr>
          <w:p w14:paraId="5F157271">
            <w:pPr>
              <w:pStyle w:val="5"/>
              <w:spacing w:before="121" w:line="220" w:lineRule="auto"/>
              <w:rPr>
                <w:sz w:val="24"/>
                <w:szCs w:val="32"/>
              </w:rPr>
            </w:pPr>
            <w:r>
              <w:rPr>
                <w:spacing w:val="15"/>
                <w:sz w:val="24"/>
                <w:szCs w:val="32"/>
              </w:rPr>
              <w:t>安装方式：</w:t>
            </w:r>
            <w:r>
              <w:rPr>
                <w:spacing w:val="-66"/>
                <w:sz w:val="24"/>
                <w:szCs w:val="32"/>
              </w:rPr>
              <w:t xml:space="preserve"> </w:t>
            </w:r>
            <w:r>
              <w:rPr>
                <w:spacing w:val="15"/>
                <w:sz w:val="24"/>
                <w:szCs w:val="32"/>
              </w:rPr>
              <w:t>壁挂式安装方式</w:t>
            </w:r>
          </w:p>
        </w:tc>
      </w:tr>
      <w:tr w14:paraId="1921E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663C570">
            <w:pPr>
              <w:pStyle w:val="19"/>
              <w:spacing w:line="276" w:lineRule="auto"/>
              <w:jc w:val="center"/>
            </w:pPr>
          </w:p>
        </w:tc>
        <w:tc>
          <w:tcPr>
            <w:tcW w:w="709" w:type="dxa"/>
            <w:vAlign w:val="center"/>
          </w:tcPr>
          <w:p w14:paraId="22265ABA">
            <w:pPr>
              <w:pStyle w:val="19"/>
              <w:spacing w:line="276" w:lineRule="auto"/>
              <w:jc w:val="center"/>
              <w:rPr>
                <w:rFonts w:hint="default"/>
                <w:lang w:val="en-US" w:eastAsia="zh-CN"/>
              </w:rPr>
            </w:pPr>
            <w:r>
              <w:rPr>
                <w:rFonts w:hint="eastAsia"/>
                <w:lang w:val="en-US" w:eastAsia="zh-CN"/>
              </w:rPr>
              <w:t>21</w:t>
            </w:r>
          </w:p>
        </w:tc>
        <w:tc>
          <w:tcPr>
            <w:tcW w:w="6922" w:type="dxa"/>
            <w:vAlign w:val="center"/>
          </w:tcPr>
          <w:p w14:paraId="4DCCB076">
            <w:pPr>
              <w:pStyle w:val="19"/>
              <w:spacing w:line="276" w:lineRule="auto"/>
              <w:jc w:val="both"/>
              <w:rPr>
                <w:sz w:val="24"/>
                <w:szCs w:val="32"/>
              </w:rPr>
            </w:pPr>
            <w:r>
              <w:rPr>
                <w:spacing w:val="14"/>
                <w:sz w:val="24"/>
                <w:szCs w:val="32"/>
              </w:rPr>
              <w:t>设备使用年限</w:t>
            </w:r>
            <w:r>
              <w:rPr>
                <w:rFonts w:hint="eastAsia"/>
                <w:spacing w:val="14"/>
                <w:sz w:val="24"/>
                <w:szCs w:val="32"/>
                <w:lang w:val="en-US" w:eastAsia="zh-CN"/>
              </w:rPr>
              <w:t>≥</w:t>
            </w:r>
            <w:r>
              <w:rPr>
                <w:spacing w:val="-53"/>
                <w:sz w:val="24"/>
                <w:szCs w:val="32"/>
              </w:rPr>
              <w:t xml:space="preserve"> </w:t>
            </w:r>
            <w:r>
              <w:rPr>
                <w:spacing w:val="14"/>
                <w:sz w:val="24"/>
                <w:szCs w:val="32"/>
              </w:rPr>
              <w:t>8年</w:t>
            </w:r>
          </w:p>
        </w:tc>
      </w:tr>
      <w:tr w14:paraId="6B2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05438D6">
            <w:pPr>
              <w:pStyle w:val="19"/>
              <w:spacing w:line="276" w:lineRule="auto"/>
              <w:jc w:val="center"/>
            </w:pPr>
            <w:r>
              <w:t>★</w:t>
            </w:r>
          </w:p>
        </w:tc>
        <w:tc>
          <w:tcPr>
            <w:tcW w:w="709" w:type="dxa"/>
            <w:vAlign w:val="center"/>
          </w:tcPr>
          <w:p w14:paraId="0CE463E2">
            <w:pPr>
              <w:pStyle w:val="19"/>
              <w:spacing w:line="276" w:lineRule="auto"/>
              <w:jc w:val="center"/>
              <w:rPr>
                <w:rFonts w:hint="default"/>
                <w:lang w:val="en-US" w:eastAsia="zh-CN"/>
              </w:rPr>
            </w:pPr>
            <w:r>
              <w:rPr>
                <w:rFonts w:hint="eastAsia"/>
                <w:lang w:val="en-US" w:eastAsia="zh-CN"/>
              </w:rPr>
              <w:t>22</w:t>
            </w:r>
          </w:p>
        </w:tc>
        <w:tc>
          <w:tcPr>
            <w:tcW w:w="6922" w:type="dxa"/>
            <w:vAlign w:val="center"/>
          </w:tcPr>
          <w:p w14:paraId="56FC3E77">
            <w:pPr>
              <w:pStyle w:val="19"/>
              <w:spacing w:line="276" w:lineRule="auto"/>
              <w:jc w:val="both"/>
              <w:rPr>
                <w:rFonts w:hint="default" w:eastAsiaTheme="minorEastAsia"/>
                <w:spacing w:val="14"/>
                <w:sz w:val="24"/>
                <w:szCs w:val="32"/>
                <w:lang w:val="en-US" w:eastAsia="zh-CN"/>
              </w:rPr>
            </w:pPr>
            <w:r>
              <w:rPr>
                <w:rFonts w:hint="eastAsia"/>
                <w:spacing w:val="14"/>
                <w:sz w:val="24"/>
                <w:szCs w:val="32"/>
                <w:lang w:val="en-US" w:eastAsia="zh-CN"/>
              </w:rPr>
              <w:t>保修3年</w:t>
            </w:r>
          </w:p>
        </w:tc>
      </w:tr>
    </w:tbl>
    <w:p w14:paraId="13972E09">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694"/>
        <w:gridCol w:w="3030"/>
        <w:gridCol w:w="2067"/>
        <w:gridCol w:w="2067"/>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2C1FFB9">
            <w:pPr>
              <w:pStyle w:val="19"/>
              <w:spacing w:line="276" w:lineRule="auto"/>
              <w:jc w:val="center"/>
              <w:rPr>
                <w:rFonts w:hint="default"/>
              </w:rPr>
            </w:pPr>
            <w:r>
              <w:t>参数性质</w:t>
            </w:r>
          </w:p>
        </w:tc>
        <w:tc>
          <w:tcPr>
            <w:tcW w:w="694" w:type="dxa"/>
            <w:vAlign w:val="center"/>
          </w:tcPr>
          <w:p w14:paraId="76C57D8E">
            <w:pPr>
              <w:pStyle w:val="19"/>
              <w:spacing w:line="276" w:lineRule="auto"/>
              <w:jc w:val="center"/>
              <w:rPr>
                <w:rFonts w:hint="default"/>
              </w:rPr>
            </w:pPr>
            <w:r>
              <w:t>序号</w:t>
            </w:r>
          </w:p>
        </w:tc>
        <w:tc>
          <w:tcPr>
            <w:tcW w:w="3030" w:type="dxa"/>
            <w:vAlign w:val="center"/>
          </w:tcPr>
          <w:p w14:paraId="045DD20D">
            <w:pPr>
              <w:pStyle w:val="19"/>
              <w:spacing w:line="276" w:lineRule="auto"/>
              <w:jc w:val="center"/>
              <w:rPr>
                <w:rFonts w:hint="default"/>
              </w:rPr>
            </w:pPr>
            <w:r>
              <w:t>参数要求</w:t>
            </w:r>
          </w:p>
        </w:tc>
        <w:tc>
          <w:tcPr>
            <w:tcW w:w="2067"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2067"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5A88C189">
            <w:pPr>
              <w:pStyle w:val="19"/>
              <w:spacing w:line="276" w:lineRule="auto"/>
              <w:jc w:val="center"/>
              <w:rPr>
                <w:rFonts w:hint="eastAsia" w:eastAsiaTheme="minorEastAsia"/>
                <w:lang w:val="en-US" w:eastAsia="zh-CN"/>
              </w:rPr>
            </w:pPr>
            <w:r>
              <w:t>★</w:t>
            </w:r>
          </w:p>
        </w:tc>
        <w:tc>
          <w:tcPr>
            <w:tcW w:w="694" w:type="dxa"/>
            <w:vAlign w:val="center"/>
          </w:tcPr>
          <w:p w14:paraId="6C5A81C6">
            <w:pPr>
              <w:pStyle w:val="19"/>
              <w:spacing w:line="276" w:lineRule="auto"/>
              <w:jc w:val="center"/>
              <w:rPr>
                <w:rFonts w:hint="default"/>
              </w:rPr>
            </w:pPr>
            <w:r>
              <w:t>1</w:t>
            </w:r>
          </w:p>
        </w:tc>
        <w:tc>
          <w:tcPr>
            <w:tcW w:w="3030" w:type="dxa"/>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spacing w:val="21"/>
                <w:sz w:val="24"/>
                <w:szCs w:val="32"/>
              </w:rPr>
              <w:t>通过</w:t>
            </w:r>
            <w:r>
              <w:rPr>
                <w:sz w:val="24"/>
                <w:szCs w:val="32"/>
              </w:rPr>
              <w:t>PEM</w:t>
            </w:r>
            <w:r>
              <w:rPr>
                <w:spacing w:val="21"/>
                <w:sz w:val="24"/>
                <w:szCs w:val="32"/>
              </w:rPr>
              <w:t>水电解臭氧发生器生成医用氧气标准的氧源。</w:t>
            </w:r>
          </w:p>
        </w:tc>
        <w:tc>
          <w:tcPr>
            <w:tcW w:w="2067"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2067"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1C7D8CD">
            <w:pPr>
              <w:pStyle w:val="19"/>
              <w:spacing w:line="276" w:lineRule="auto"/>
              <w:jc w:val="center"/>
              <w:rPr>
                <w:rFonts w:hint="eastAsia" w:eastAsiaTheme="minorEastAsia"/>
                <w:lang w:val="en-US" w:eastAsia="zh-CN"/>
              </w:rPr>
            </w:pPr>
            <w:r>
              <w:t>★</w:t>
            </w:r>
          </w:p>
        </w:tc>
        <w:tc>
          <w:tcPr>
            <w:tcW w:w="694" w:type="dxa"/>
            <w:vAlign w:val="center"/>
          </w:tcPr>
          <w:p w14:paraId="7BEC3DA8">
            <w:pPr>
              <w:pStyle w:val="19"/>
              <w:spacing w:line="276" w:lineRule="auto"/>
              <w:jc w:val="center"/>
              <w:rPr>
                <w:rFonts w:hint="default"/>
              </w:rPr>
            </w:pPr>
            <w:r>
              <w:t>2</w:t>
            </w:r>
          </w:p>
        </w:tc>
        <w:tc>
          <w:tcPr>
            <w:tcW w:w="3030" w:type="dxa"/>
            <w:vAlign w:val="center"/>
          </w:tcPr>
          <w:p w14:paraId="0EFE8A75">
            <w:pPr>
              <w:pStyle w:val="19"/>
              <w:spacing w:line="276" w:lineRule="auto"/>
              <w:jc w:val="both"/>
              <w:rPr>
                <w:rFonts w:hint="default"/>
              </w:rPr>
            </w:pPr>
            <w:r>
              <w:rPr>
                <w:spacing w:val="16"/>
                <w:sz w:val="24"/>
                <w:szCs w:val="32"/>
              </w:rPr>
              <w:t>臭氧水浓度：</w:t>
            </w:r>
            <w:r>
              <w:rPr>
                <w:spacing w:val="-43"/>
                <w:sz w:val="24"/>
                <w:szCs w:val="32"/>
              </w:rPr>
              <w:t xml:space="preserve"> </w:t>
            </w:r>
            <w:r>
              <w:rPr>
                <w:spacing w:val="16"/>
                <w:sz w:val="24"/>
                <w:szCs w:val="32"/>
              </w:rPr>
              <w:t>≥</w:t>
            </w:r>
            <w:r>
              <w:rPr>
                <w:spacing w:val="16"/>
                <w:sz w:val="24"/>
                <w:szCs w:val="32"/>
                <w:lang w:val="en-US"/>
              </w:rPr>
              <w:t>3</w:t>
            </w:r>
            <w:r>
              <w:rPr>
                <w:spacing w:val="16"/>
                <w:sz w:val="24"/>
                <w:szCs w:val="32"/>
              </w:rPr>
              <w:t>.5</w:t>
            </w:r>
            <w:r>
              <w:rPr>
                <w:sz w:val="24"/>
                <w:szCs w:val="32"/>
              </w:rPr>
              <w:t>mg</w:t>
            </w:r>
            <w:r>
              <w:rPr>
                <w:spacing w:val="16"/>
                <w:sz w:val="24"/>
                <w:szCs w:val="32"/>
              </w:rPr>
              <w:t>/L</w:t>
            </w:r>
          </w:p>
        </w:tc>
        <w:tc>
          <w:tcPr>
            <w:tcW w:w="2067" w:type="dxa"/>
            <w:vAlign w:val="center"/>
          </w:tcPr>
          <w:p w14:paraId="3DFE4310">
            <w:pPr>
              <w:pStyle w:val="19"/>
              <w:spacing w:line="276" w:lineRule="auto"/>
              <w:jc w:val="both"/>
              <w:rPr>
                <w:spacing w:val="16"/>
                <w:sz w:val="24"/>
                <w:szCs w:val="32"/>
              </w:rPr>
            </w:pPr>
          </w:p>
        </w:tc>
        <w:tc>
          <w:tcPr>
            <w:tcW w:w="2067"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325BE445">
            <w:pPr>
              <w:pStyle w:val="19"/>
              <w:spacing w:line="276" w:lineRule="auto"/>
              <w:jc w:val="center"/>
              <w:rPr>
                <w:rFonts w:ascii="宋体" w:hAnsi="宋体" w:eastAsia="宋体" w:cs="宋体"/>
                <w:sz w:val="21"/>
                <w:szCs w:val="21"/>
              </w:rPr>
            </w:pPr>
          </w:p>
        </w:tc>
        <w:tc>
          <w:tcPr>
            <w:tcW w:w="694" w:type="dxa"/>
            <w:vAlign w:val="center"/>
          </w:tcPr>
          <w:p w14:paraId="3703A4B9">
            <w:pPr>
              <w:pStyle w:val="19"/>
              <w:spacing w:line="276" w:lineRule="auto"/>
              <w:jc w:val="center"/>
              <w:rPr>
                <w:rFonts w:hint="eastAsia" w:eastAsiaTheme="minorEastAsia"/>
                <w:lang w:val="en-US" w:eastAsia="zh-CN"/>
              </w:rPr>
            </w:pPr>
            <w:r>
              <w:rPr>
                <w:rFonts w:hint="eastAsia"/>
                <w:lang w:val="en-US" w:eastAsia="zh-CN"/>
              </w:rPr>
              <w:t>3</w:t>
            </w:r>
          </w:p>
        </w:tc>
        <w:tc>
          <w:tcPr>
            <w:tcW w:w="3030" w:type="dxa"/>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spacing w:val="18"/>
                <w:sz w:val="24"/>
                <w:szCs w:val="32"/>
              </w:rPr>
              <w:t>具备流量调节开关</w:t>
            </w:r>
          </w:p>
        </w:tc>
        <w:tc>
          <w:tcPr>
            <w:tcW w:w="2067"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2067"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7B8BB8CF">
            <w:pPr>
              <w:pStyle w:val="19"/>
              <w:spacing w:line="276" w:lineRule="auto"/>
              <w:jc w:val="center"/>
              <w:rPr>
                <w:rFonts w:ascii="宋体" w:hAnsi="宋体" w:eastAsia="宋体" w:cs="宋体"/>
                <w:sz w:val="21"/>
                <w:szCs w:val="21"/>
              </w:rPr>
            </w:pPr>
          </w:p>
        </w:tc>
        <w:tc>
          <w:tcPr>
            <w:tcW w:w="694" w:type="dxa"/>
            <w:vAlign w:val="center"/>
          </w:tcPr>
          <w:p w14:paraId="0DB5DFD6">
            <w:pPr>
              <w:pStyle w:val="19"/>
              <w:spacing w:line="276" w:lineRule="auto"/>
              <w:jc w:val="center"/>
              <w:rPr>
                <w:rFonts w:hint="eastAsia" w:eastAsiaTheme="minorEastAsia"/>
                <w:lang w:eastAsia="zh-CN"/>
              </w:rPr>
            </w:pPr>
            <w:r>
              <w:rPr>
                <w:rFonts w:hint="eastAsia"/>
                <w:lang w:val="en-US" w:eastAsia="zh-CN"/>
              </w:rPr>
              <w:t>4</w:t>
            </w:r>
          </w:p>
        </w:tc>
        <w:tc>
          <w:tcPr>
            <w:tcW w:w="3030" w:type="dxa"/>
            <w:vAlign w:val="center"/>
          </w:tcPr>
          <w:p w14:paraId="32C26F9B">
            <w:pPr>
              <w:pStyle w:val="19"/>
              <w:spacing w:line="276" w:lineRule="auto"/>
              <w:jc w:val="both"/>
              <w:rPr>
                <w:rFonts w:hint="eastAsia" w:ascii="Times New Roman" w:hAnsi="Times New Roman" w:cs="Times New Roman" w:eastAsiaTheme="minorEastAsia"/>
                <w:szCs w:val="21"/>
                <w:lang w:val="en-US" w:eastAsia="zh-CN"/>
              </w:rPr>
            </w:pPr>
            <w:r>
              <w:rPr>
                <w:spacing w:val="19"/>
                <w:sz w:val="24"/>
                <w:szCs w:val="32"/>
              </w:rPr>
              <w:t>设备工作时间：</w:t>
            </w:r>
            <w:r>
              <w:rPr>
                <w:spacing w:val="-65"/>
                <w:sz w:val="24"/>
                <w:szCs w:val="32"/>
              </w:rPr>
              <w:t xml:space="preserve"> </w:t>
            </w:r>
            <w:r>
              <w:rPr>
                <w:spacing w:val="19"/>
                <w:sz w:val="24"/>
                <w:szCs w:val="32"/>
              </w:rPr>
              <w:t>持续不间断不限时的供</w:t>
            </w:r>
            <w:r>
              <w:rPr>
                <w:spacing w:val="18"/>
                <w:sz w:val="24"/>
                <w:szCs w:val="32"/>
              </w:rPr>
              <w:t>医用臭氧水</w:t>
            </w:r>
          </w:p>
        </w:tc>
        <w:tc>
          <w:tcPr>
            <w:tcW w:w="2067" w:type="dxa"/>
            <w:vAlign w:val="center"/>
          </w:tcPr>
          <w:p w14:paraId="0765D392">
            <w:pPr>
              <w:pStyle w:val="19"/>
              <w:spacing w:line="276" w:lineRule="auto"/>
              <w:jc w:val="both"/>
              <w:rPr>
                <w:spacing w:val="19"/>
                <w:sz w:val="24"/>
                <w:szCs w:val="32"/>
              </w:rPr>
            </w:pPr>
          </w:p>
        </w:tc>
        <w:tc>
          <w:tcPr>
            <w:tcW w:w="2067"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2BD74AF7">
            <w:pPr>
              <w:pStyle w:val="19"/>
              <w:spacing w:line="276" w:lineRule="auto"/>
              <w:jc w:val="center"/>
              <w:rPr>
                <w:rFonts w:ascii="宋体" w:hAnsi="宋体" w:eastAsia="宋体" w:cs="宋体"/>
                <w:sz w:val="21"/>
                <w:szCs w:val="21"/>
              </w:rPr>
            </w:pPr>
          </w:p>
        </w:tc>
        <w:tc>
          <w:tcPr>
            <w:tcW w:w="694" w:type="dxa"/>
            <w:vAlign w:val="center"/>
          </w:tcPr>
          <w:p w14:paraId="58AE409E">
            <w:pPr>
              <w:pStyle w:val="19"/>
              <w:spacing w:line="276" w:lineRule="auto"/>
              <w:jc w:val="center"/>
              <w:rPr>
                <w:rFonts w:hint="eastAsia" w:eastAsiaTheme="minorEastAsia"/>
                <w:lang w:val="en-US" w:eastAsia="zh-CN"/>
              </w:rPr>
            </w:pPr>
            <w:r>
              <w:rPr>
                <w:rFonts w:hint="eastAsia"/>
                <w:lang w:val="en-US" w:eastAsia="zh-CN"/>
              </w:rPr>
              <w:t>5</w:t>
            </w:r>
          </w:p>
        </w:tc>
        <w:tc>
          <w:tcPr>
            <w:tcW w:w="3030" w:type="dxa"/>
            <w:vAlign w:val="center"/>
          </w:tcPr>
          <w:p w14:paraId="08E0C679">
            <w:pPr>
              <w:pStyle w:val="19"/>
              <w:spacing w:line="276" w:lineRule="auto"/>
              <w:jc w:val="both"/>
              <w:rPr>
                <w:rFonts w:hint="eastAsia" w:ascii="Times New Roman" w:hAnsi="Times New Roman" w:eastAsia="宋体" w:cs="Times New Roman"/>
                <w:szCs w:val="21"/>
                <w:lang w:val="en-US" w:eastAsia="zh-CN"/>
              </w:rPr>
            </w:pPr>
            <w:r>
              <w:rPr>
                <w:spacing w:val="20"/>
                <w:sz w:val="24"/>
                <w:szCs w:val="32"/>
              </w:rPr>
              <w:t>当进水口水流量低于300</w:t>
            </w:r>
            <w:r>
              <w:rPr>
                <w:sz w:val="24"/>
                <w:szCs w:val="32"/>
              </w:rPr>
              <w:t>ml</w:t>
            </w:r>
            <w:r>
              <w:rPr>
                <w:spacing w:val="20"/>
                <w:sz w:val="24"/>
                <w:szCs w:val="32"/>
              </w:rPr>
              <w:t>/</w:t>
            </w:r>
            <w:r>
              <w:rPr>
                <w:sz w:val="24"/>
                <w:szCs w:val="32"/>
              </w:rPr>
              <w:t>min</w:t>
            </w:r>
            <w:r>
              <w:rPr>
                <w:spacing w:val="20"/>
                <w:sz w:val="24"/>
                <w:szCs w:val="32"/>
              </w:rPr>
              <w:t>时,具有保护控制功能</w:t>
            </w:r>
          </w:p>
        </w:tc>
        <w:tc>
          <w:tcPr>
            <w:tcW w:w="2067" w:type="dxa"/>
            <w:vAlign w:val="center"/>
          </w:tcPr>
          <w:p w14:paraId="7C233003">
            <w:pPr>
              <w:pStyle w:val="19"/>
              <w:spacing w:line="276" w:lineRule="auto"/>
              <w:jc w:val="both"/>
              <w:rPr>
                <w:spacing w:val="20"/>
                <w:sz w:val="24"/>
                <w:szCs w:val="32"/>
              </w:rPr>
            </w:pPr>
          </w:p>
        </w:tc>
        <w:tc>
          <w:tcPr>
            <w:tcW w:w="2067"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73E259CD">
            <w:pPr>
              <w:pStyle w:val="19"/>
              <w:spacing w:line="276" w:lineRule="auto"/>
              <w:jc w:val="center"/>
              <w:rPr>
                <w:rFonts w:ascii="宋体" w:hAnsi="宋体" w:eastAsia="宋体" w:cs="宋体"/>
                <w:sz w:val="21"/>
                <w:szCs w:val="21"/>
              </w:rPr>
            </w:pPr>
          </w:p>
        </w:tc>
        <w:tc>
          <w:tcPr>
            <w:tcW w:w="694" w:type="dxa"/>
            <w:vAlign w:val="center"/>
          </w:tcPr>
          <w:p w14:paraId="64AEDC25">
            <w:pPr>
              <w:pStyle w:val="19"/>
              <w:spacing w:line="276" w:lineRule="auto"/>
              <w:jc w:val="center"/>
              <w:rPr>
                <w:rFonts w:hint="eastAsia" w:eastAsiaTheme="minorEastAsia"/>
                <w:lang w:eastAsia="zh-CN"/>
              </w:rPr>
            </w:pPr>
            <w:r>
              <w:rPr>
                <w:rFonts w:hint="eastAsia"/>
                <w:lang w:val="en-US" w:eastAsia="zh-CN"/>
              </w:rPr>
              <w:t>6</w:t>
            </w:r>
          </w:p>
        </w:tc>
        <w:tc>
          <w:tcPr>
            <w:tcW w:w="3030" w:type="dxa"/>
            <w:vAlign w:val="center"/>
          </w:tcPr>
          <w:p w14:paraId="467E8C8E">
            <w:pPr>
              <w:pStyle w:val="19"/>
              <w:spacing w:line="276" w:lineRule="auto"/>
              <w:jc w:val="both"/>
              <w:rPr>
                <w:rFonts w:hint="eastAsia" w:ascii="Times New Roman" w:hAnsi="Times New Roman" w:eastAsia="宋体" w:cs="Times New Roman"/>
                <w:szCs w:val="21"/>
                <w:lang w:val="en-US" w:eastAsia="zh-CN"/>
              </w:rPr>
            </w:pPr>
            <w:r>
              <w:rPr>
                <w:spacing w:val="19"/>
                <w:sz w:val="24"/>
                <w:szCs w:val="32"/>
              </w:rPr>
              <w:t>治疗头堵塞时具有保护控制功能</w:t>
            </w:r>
          </w:p>
        </w:tc>
        <w:tc>
          <w:tcPr>
            <w:tcW w:w="2067" w:type="dxa"/>
            <w:vAlign w:val="center"/>
          </w:tcPr>
          <w:p w14:paraId="0635B12A">
            <w:pPr>
              <w:pStyle w:val="19"/>
              <w:spacing w:line="276" w:lineRule="auto"/>
              <w:jc w:val="both"/>
              <w:rPr>
                <w:spacing w:val="19"/>
                <w:sz w:val="24"/>
                <w:szCs w:val="32"/>
              </w:rPr>
            </w:pPr>
          </w:p>
        </w:tc>
        <w:tc>
          <w:tcPr>
            <w:tcW w:w="2067"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61" w:type="dxa"/>
            <w:vAlign w:val="center"/>
          </w:tcPr>
          <w:p w14:paraId="10EAF6F9">
            <w:pPr>
              <w:pStyle w:val="19"/>
              <w:spacing w:line="276" w:lineRule="auto"/>
              <w:jc w:val="center"/>
              <w:rPr>
                <w:rFonts w:ascii="宋体" w:hAnsi="宋体" w:eastAsia="宋体" w:cs="宋体"/>
                <w:sz w:val="21"/>
                <w:szCs w:val="21"/>
              </w:rPr>
            </w:pPr>
          </w:p>
        </w:tc>
        <w:tc>
          <w:tcPr>
            <w:tcW w:w="694" w:type="dxa"/>
            <w:vAlign w:val="center"/>
          </w:tcPr>
          <w:p w14:paraId="1319665F">
            <w:pPr>
              <w:pStyle w:val="19"/>
              <w:spacing w:line="276" w:lineRule="auto"/>
              <w:jc w:val="center"/>
              <w:rPr>
                <w:rFonts w:hint="eastAsia" w:eastAsiaTheme="minorEastAsia"/>
                <w:lang w:val="en-US" w:eastAsia="zh-CN"/>
              </w:rPr>
            </w:pPr>
            <w:r>
              <w:rPr>
                <w:rFonts w:hint="eastAsia"/>
                <w:lang w:val="en-US" w:eastAsia="zh-CN"/>
              </w:rPr>
              <w:t>7</w:t>
            </w:r>
          </w:p>
        </w:tc>
        <w:tc>
          <w:tcPr>
            <w:tcW w:w="3030" w:type="dxa"/>
            <w:vAlign w:val="center"/>
          </w:tcPr>
          <w:p w14:paraId="529F1617">
            <w:pPr>
              <w:pStyle w:val="19"/>
              <w:spacing w:line="276" w:lineRule="auto"/>
              <w:jc w:val="both"/>
              <w:rPr>
                <w:rFonts w:hint="eastAsia" w:ascii="宋体" w:hAnsi="宋体"/>
                <w:sz w:val="21"/>
                <w:szCs w:val="21"/>
                <w:u w:val="none"/>
              </w:rPr>
            </w:pPr>
            <w:r>
              <w:rPr>
                <w:spacing w:val="14"/>
                <w:sz w:val="24"/>
                <w:szCs w:val="32"/>
              </w:rPr>
              <w:t>具备过18-45</w:t>
            </w:r>
            <w:r>
              <w:rPr>
                <w:spacing w:val="-59"/>
                <w:sz w:val="24"/>
                <w:szCs w:val="32"/>
              </w:rPr>
              <w:t xml:space="preserve"> </w:t>
            </w:r>
            <w:r>
              <w:rPr>
                <w:spacing w:val="14"/>
                <w:sz w:val="24"/>
                <w:szCs w:val="32"/>
              </w:rPr>
              <w:t>°</w:t>
            </w:r>
            <w:r>
              <w:rPr>
                <w:spacing w:val="-89"/>
                <w:sz w:val="24"/>
                <w:szCs w:val="32"/>
              </w:rPr>
              <w:t xml:space="preserve"> </w:t>
            </w:r>
            <w:r>
              <w:rPr>
                <w:spacing w:val="14"/>
                <w:sz w:val="24"/>
                <w:szCs w:val="32"/>
              </w:rPr>
              <w:t>C过温保护和超温异常提示功能</w:t>
            </w:r>
          </w:p>
        </w:tc>
        <w:tc>
          <w:tcPr>
            <w:tcW w:w="2067" w:type="dxa"/>
            <w:vAlign w:val="center"/>
          </w:tcPr>
          <w:p w14:paraId="0EAB0AD4">
            <w:pPr>
              <w:pStyle w:val="19"/>
              <w:spacing w:line="276" w:lineRule="auto"/>
              <w:jc w:val="both"/>
              <w:rPr>
                <w:spacing w:val="14"/>
                <w:sz w:val="24"/>
                <w:szCs w:val="32"/>
              </w:rPr>
            </w:pPr>
          </w:p>
        </w:tc>
        <w:tc>
          <w:tcPr>
            <w:tcW w:w="2067"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7C30CB65">
            <w:pPr>
              <w:pStyle w:val="19"/>
              <w:spacing w:line="276" w:lineRule="auto"/>
              <w:jc w:val="center"/>
              <w:rPr>
                <w:rFonts w:ascii="宋体" w:hAnsi="宋体" w:eastAsia="宋体" w:cs="宋体"/>
                <w:sz w:val="21"/>
                <w:szCs w:val="21"/>
              </w:rPr>
            </w:pPr>
          </w:p>
        </w:tc>
        <w:tc>
          <w:tcPr>
            <w:tcW w:w="694" w:type="dxa"/>
            <w:vAlign w:val="center"/>
          </w:tcPr>
          <w:p w14:paraId="09CF871C">
            <w:pPr>
              <w:pStyle w:val="19"/>
              <w:spacing w:line="276" w:lineRule="auto"/>
              <w:jc w:val="center"/>
              <w:rPr>
                <w:rFonts w:hint="default" w:eastAsiaTheme="minorEastAsia"/>
                <w:lang w:val="en-US" w:eastAsia="zh-CN"/>
              </w:rPr>
            </w:pPr>
            <w:r>
              <w:rPr>
                <w:rFonts w:hint="eastAsia"/>
                <w:lang w:val="en-US" w:eastAsia="zh-CN"/>
              </w:rPr>
              <w:t>8</w:t>
            </w:r>
          </w:p>
        </w:tc>
        <w:tc>
          <w:tcPr>
            <w:tcW w:w="3030" w:type="dxa"/>
            <w:vAlign w:val="center"/>
          </w:tcPr>
          <w:p w14:paraId="49B98E8D">
            <w:pPr>
              <w:pStyle w:val="19"/>
              <w:spacing w:line="276" w:lineRule="auto"/>
              <w:jc w:val="both"/>
              <w:rPr>
                <w:rFonts w:hint="eastAsia" w:ascii="宋体" w:hAnsi="宋体"/>
                <w:sz w:val="21"/>
                <w:szCs w:val="21"/>
                <w:u w:val="none"/>
              </w:rPr>
            </w:pPr>
            <w:r>
              <w:rPr>
                <w:spacing w:val="20"/>
                <w:sz w:val="24"/>
                <w:szCs w:val="32"/>
              </w:rPr>
              <w:t>具备低水位时自动补水及补水异常提示功能</w:t>
            </w:r>
          </w:p>
        </w:tc>
        <w:tc>
          <w:tcPr>
            <w:tcW w:w="2067" w:type="dxa"/>
            <w:vAlign w:val="center"/>
          </w:tcPr>
          <w:p w14:paraId="6B52369E">
            <w:pPr>
              <w:pStyle w:val="19"/>
              <w:spacing w:line="276" w:lineRule="auto"/>
              <w:jc w:val="both"/>
              <w:rPr>
                <w:spacing w:val="20"/>
                <w:sz w:val="24"/>
                <w:szCs w:val="32"/>
              </w:rPr>
            </w:pPr>
          </w:p>
        </w:tc>
        <w:tc>
          <w:tcPr>
            <w:tcW w:w="2067"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3FB1E39">
            <w:pPr>
              <w:pStyle w:val="19"/>
              <w:spacing w:line="276" w:lineRule="auto"/>
              <w:jc w:val="center"/>
              <w:rPr>
                <w:rFonts w:ascii="宋体" w:hAnsi="宋体" w:eastAsia="宋体" w:cs="宋体"/>
                <w:sz w:val="21"/>
                <w:szCs w:val="21"/>
              </w:rPr>
            </w:pPr>
          </w:p>
        </w:tc>
        <w:tc>
          <w:tcPr>
            <w:tcW w:w="694" w:type="dxa"/>
            <w:vAlign w:val="center"/>
          </w:tcPr>
          <w:p w14:paraId="02A4CE3B">
            <w:pPr>
              <w:pStyle w:val="19"/>
              <w:spacing w:line="276" w:lineRule="auto"/>
              <w:jc w:val="center"/>
              <w:rPr>
                <w:rFonts w:hint="eastAsia" w:eastAsiaTheme="minorEastAsia"/>
                <w:lang w:val="en-US" w:eastAsia="zh-CN"/>
              </w:rPr>
            </w:pPr>
            <w:r>
              <w:rPr>
                <w:rFonts w:hint="eastAsia"/>
                <w:lang w:val="en-US" w:eastAsia="zh-CN"/>
              </w:rPr>
              <w:t>9</w:t>
            </w:r>
          </w:p>
        </w:tc>
        <w:tc>
          <w:tcPr>
            <w:tcW w:w="3030" w:type="dxa"/>
            <w:vAlign w:val="center"/>
          </w:tcPr>
          <w:p w14:paraId="7E984E01">
            <w:pPr>
              <w:pStyle w:val="19"/>
              <w:spacing w:line="276" w:lineRule="auto"/>
              <w:jc w:val="both"/>
              <w:rPr>
                <w:rFonts w:hint="eastAsia" w:ascii="宋体" w:hAnsi="宋体"/>
                <w:sz w:val="21"/>
                <w:szCs w:val="21"/>
                <w:u w:val="none"/>
              </w:rPr>
            </w:pPr>
            <w:r>
              <w:rPr>
                <w:spacing w:val="17"/>
                <w:sz w:val="24"/>
                <w:szCs w:val="32"/>
              </w:rPr>
              <w:t>配有耐臭氧材质的出水软管</w:t>
            </w:r>
          </w:p>
        </w:tc>
        <w:tc>
          <w:tcPr>
            <w:tcW w:w="2067" w:type="dxa"/>
            <w:vAlign w:val="center"/>
          </w:tcPr>
          <w:p w14:paraId="0EAC8070">
            <w:pPr>
              <w:pStyle w:val="19"/>
              <w:spacing w:line="276" w:lineRule="auto"/>
              <w:jc w:val="both"/>
              <w:rPr>
                <w:spacing w:val="17"/>
                <w:sz w:val="24"/>
                <w:szCs w:val="32"/>
              </w:rPr>
            </w:pPr>
          </w:p>
        </w:tc>
        <w:tc>
          <w:tcPr>
            <w:tcW w:w="2067" w:type="dxa"/>
            <w:vAlign w:val="center"/>
          </w:tcPr>
          <w:p w14:paraId="36916F16">
            <w:pPr>
              <w:pStyle w:val="19"/>
              <w:spacing w:line="276" w:lineRule="auto"/>
              <w:jc w:val="both"/>
              <w:rPr>
                <w:spacing w:val="17"/>
                <w:sz w:val="24"/>
                <w:szCs w:val="32"/>
              </w:rPr>
            </w:pPr>
          </w:p>
        </w:tc>
      </w:tr>
      <w:tr w14:paraId="3D6E9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47425867">
            <w:pPr>
              <w:pStyle w:val="19"/>
              <w:spacing w:line="276" w:lineRule="auto"/>
              <w:jc w:val="center"/>
              <w:rPr>
                <w:rFonts w:ascii="宋体" w:hAnsi="宋体" w:eastAsia="宋体" w:cs="宋体"/>
                <w:sz w:val="21"/>
                <w:szCs w:val="21"/>
              </w:rPr>
            </w:pPr>
            <w:r>
              <w:t>★</w:t>
            </w:r>
          </w:p>
        </w:tc>
        <w:tc>
          <w:tcPr>
            <w:tcW w:w="694" w:type="dxa"/>
            <w:vAlign w:val="center"/>
          </w:tcPr>
          <w:p w14:paraId="77311504">
            <w:pPr>
              <w:pStyle w:val="19"/>
              <w:spacing w:line="276" w:lineRule="auto"/>
              <w:jc w:val="center"/>
              <w:rPr>
                <w:rFonts w:hint="default" w:eastAsiaTheme="minorEastAsia"/>
                <w:lang w:val="en-US" w:eastAsia="zh-CN"/>
              </w:rPr>
            </w:pPr>
            <w:r>
              <w:rPr>
                <w:rFonts w:hint="eastAsia"/>
                <w:lang w:val="en-US" w:eastAsia="zh-CN"/>
              </w:rPr>
              <w:t>10</w:t>
            </w:r>
          </w:p>
        </w:tc>
        <w:tc>
          <w:tcPr>
            <w:tcW w:w="3030" w:type="dxa"/>
            <w:vAlign w:val="center"/>
          </w:tcPr>
          <w:p w14:paraId="2FD14DDD">
            <w:pPr>
              <w:pStyle w:val="19"/>
              <w:spacing w:line="276" w:lineRule="auto"/>
              <w:jc w:val="both"/>
              <w:rPr>
                <w:rFonts w:hint="eastAsia" w:ascii="宋体" w:hAnsi="宋体"/>
                <w:sz w:val="21"/>
                <w:szCs w:val="21"/>
                <w:u w:val="none"/>
                <w:lang w:val="en-US" w:eastAsia="zh-CN"/>
              </w:rPr>
            </w:pPr>
            <w:r>
              <w:rPr>
                <w:spacing w:val="15"/>
                <w:sz w:val="24"/>
                <w:szCs w:val="32"/>
              </w:rPr>
              <w:t>设备内置消臭氧装置，</w:t>
            </w:r>
            <w:r>
              <w:rPr>
                <w:spacing w:val="-62"/>
                <w:sz w:val="24"/>
                <w:szCs w:val="32"/>
              </w:rPr>
              <w:t xml:space="preserve"> </w:t>
            </w:r>
            <w:r>
              <w:rPr>
                <w:spacing w:val="15"/>
                <w:sz w:val="24"/>
                <w:szCs w:val="32"/>
              </w:rPr>
              <w:t>0尾气排放，</w:t>
            </w:r>
            <w:r>
              <w:rPr>
                <w:spacing w:val="-63"/>
                <w:sz w:val="24"/>
                <w:szCs w:val="32"/>
              </w:rPr>
              <w:t xml:space="preserve"> </w:t>
            </w:r>
            <w:r>
              <w:rPr>
                <w:spacing w:val="15"/>
                <w:sz w:val="24"/>
                <w:szCs w:val="32"/>
              </w:rPr>
              <w:t>无需安装外置排气管。</w:t>
            </w:r>
          </w:p>
        </w:tc>
        <w:tc>
          <w:tcPr>
            <w:tcW w:w="2067" w:type="dxa"/>
            <w:vAlign w:val="center"/>
          </w:tcPr>
          <w:p w14:paraId="5CA0080F">
            <w:pPr>
              <w:pStyle w:val="19"/>
              <w:spacing w:line="276" w:lineRule="auto"/>
              <w:jc w:val="both"/>
              <w:rPr>
                <w:spacing w:val="15"/>
                <w:sz w:val="24"/>
                <w:szCs w:val="32"/>
              </w:rPr>
            </w:pPr>
          </w:p>
        </w:tc>
        <w:tc>
          <w:tcPr>
            <w:tcW w:w="2067" w:type="dxa"/>
            <w:vAlign w:val="center"/>
          </w:tcPr>
          <w:p w14:paraId="0415A1D9">
            <w:pPr>
              <w:pStyle w:val="19"/>
              <w:spacing w:line="276" w:lineRule="auto"/>
              <w:jc w:val="both"/>
              <w:rPr>
                <w:spacing w:val="15"/>
                <w:sz w:val="24"/>
                <w:szCs w:val="32"/>
              </w:rPr>
            </w:pPr>
          </w:p>
        </w:tc>
      </w:tr>
      <w:tr w14:paraId="41A75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5B4E89DA">
            <w:pPr>
              <w:pStyle w:val="19"/>
              <w:spacing w:line="276" w:lineRule="auto"/>
              <w:jc w:val="center"/>
              <w:rPr>
                <w:rFonts w:ascii="宋体" w:hAnsi="宋体" w:eastAsia="宋体" w:cs="宋体"/>
                <w:sz w:val="21"/>
                <w:szCs w:val="21"/>
              </w:rPr>
            </w:pPr>
          </w:p>
        </w:tc>
        <w:tc>
          <w:tcPr>
            <w:tcW w:w="694" w:type="dxa"/>
            <w:vAlign w:val="center"/>
          </w:tcPr>
          <w:p w14:paraId="1D55F74F">
            <w:pPr>
              <w:pStyle w:val="19"/>
              <w:spacing w:line="276" w:lineRule="auto"/>
              <w:jc w:val="center"/>
              <w:rPr>
                <w:rFonts w:hint="default" w:eastAsiaTheme="minorEastAsia"/>
                <w:lang w:val="en-US" w:eastAsia="zh-CN"/>
              </w:rPr>
            </w:pPr>
            <w:r>
              <w:rPr>
                <w:rFonts w:hint="eastAsia"/>
                <w:lang w:val="en-US" w:eastAsia="zh-CN"/>
              </w:rPr>
              <w:t>11</w:t>
            </w:r>
          </w:p>
        </w:tc>
        <w:tc>
          <w:tcPr>
            <w:tcW w:w="3030" w:type="dxa"/>
            <w:vAlign w:val="center"/>
          </w:tcPr>
          <w:p w14:paraId="3E652DFB">
            <w:pPr>
              <w:pStyle w:val="19"/>
              <w:spacing w:line="276" w:lineRule="auto"/>
              <w:jc w:val="both"/>
              <w:rPr>
                <w:rFonts w:hint="eastAsia" w:ascii="宋体" w:hAnsi="宋体"/>
                <w:sz w:val="21"/>
                <w:szCs w:val="21"/>
                <w:u w:val="none"/>
                <w:lang w:val="en-US" w:eastAsia="zh-CN"/>
              </w:rPr>
            </w:pPr>
            <w:r>
              <w:rPr>
                <w:spacing w:val="17"/>
                <w:sz w:val="24"/>
                <w:szCs w:val="32"/>
              </w:rPr>
              <w:t>具备耐臭氧材质的螺旋管气液混合装置</w:t>
            </w:r>
          </w:p>
        </w:tc>
        <w:tc>
          <w:tcPr>
            <w:tcW w:w="2067" w:type="dxa"/>
            <w:vAlign w:val="center"/>
          </w:tcPr>
          <w:p w14:paraId="798B7686">
            <w:pPr>
              <w:pStyle w:val="19"/>
              <w:spacing w:line="276" w:lineRule="auto"/>
              <w:jc w:val="both"/>
              <w:rPr>
                <w:spacing w:val="17"/>
                <w:sz w:val="24"/>
                <w:szCs w:val="32"/>
              </w:rPr>
            </w:pPr>
          </w:p>
        </w:tc>
        <w:tc>
          <w:tcPr>
            <w:tcW w:w="2067" w:type="dxa"/>
            <w:vAlign w:val="center"/>
          </w:tcPr>
          <w:p w14:paraId="34CFE799">
            <w:pPr>
              <w:pStyle w:val="19"/>
              <w:spacing w:line="276" w:lineRule="auto"/>
              <w:jc w:val="both"/>
              <w:rPr>
                <w:spacing w:val="17"/>
                <w:sz w:val="24"/>
                <w:szCs w:val="32"/>
              </w:rPr>
            </w:pPr>
          </w:p>
        </w:tc>
      </w:tr>
      <w:tr w14:paraId="3ACF1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6463B22">
            <w:pPr>
              <w:pStyle w:val="19"/>
              <w:spacing w:line="276" w:lineRule="auto"/>
              <w:jc w:val="center"/>
              <w:rPr>
                <w:rFonts w:ascii="宋体" w:hAnsi="宋体" w:eastAsia="宋体" w:cs="宋体"/>
                <w:sz w:val="21"/>
                <w:szCs w:val="21"/>
              </w:rPr>
            </w:pPr>
          </w:p>
        </w:tc>
        <w:tc>
          <w:tcPr>
            <w:tcW w:w="694" w:type="dxa"/>
            <w:vAlign w:val="center"/>
          </w:tcPr>
          <w:p w14:paraId="6469C996">
            <w:pPr>
              <w:pStyle w:val="19"/>
              <w:spacing w:line="276" w:lineRule="auto"/>
              <w:jc w:val="center"/>
              <w:rPr>
                <w:rFonts w:hint="default" w:eastAsiaTheme="minorEastAsia"/>
                <w:lang w:val="en-US" w:eastAsia="zh-CN"/>
              </w:rPr>
            </w:pPr>
            <w:r>
              <w:rPr>
                <w:rFonts w:hint="eastAsia"/>
                <w:lang w:val="en-US" w:eastAsia="zh-CN"/>
              </w:rPr>
              <w:t>12</w:t>
            </w:r>
          </w:p>
        </w:tc>
        <w:tc>
          <w:tcPr>
            <w:tcW w:w="3030" w:type="dxa"/>
            <w:vAlign w:val="center"/>
          </w:tcPr>
          <w:p w14:paraId="4BE188E8">
            <w:pPr>
              <w:pStyle w:val="19"/>
              <w:spacing w:line="276" w:lineRule="auto"/>
              <w:jc w:val="both"/>
              <w:rPr>
                <w:rFonts w:hint="eastAsia" w:ascii="宋体" w:hAnsi="宋体"/>
                <w:sz w:val="21"/>
                <w:szCs w:val="21"/>
                <w:u w:val="none"/>
                <w:lang w:val="en-US" w:eastAsia="zh-CN"/>
              </w:rPr>
            </w:pPr>
            <w:r>
              <w:rPr>
                <w:spacing w:val="17"/>
                <w:sz w:val="24"/>
                <w:szCs w:val="32"/>
              </w:rPr>
              <w:t>治疗仪中臭氧水出水压力应≦0.0</w:t>
            </w:r>
            <w:r>
              <w:rPr>
                <w:rFonts w:hint="eastAsia"/>
                <w:spacing w:val="17"/>
                <w:sz w:val="24"/>
                <w:szCs w:val="32"/>
                <w:lang w:val="en-US" w:eastAsia="zh-CN"/>
              </w:rPr>
              <w:t>2</w:t>
            </w:r>
            <w:r>
              <w:rPr>
                <w:sz w:val="24"/>
                <w:szCs w:val="32"/>
              </w:rPr>
              <w:t>MPa</w:t>
            </w:r>
          </w:p>
        </w:tc>
        <w:tc>
          <w:tcPr>
            <w:tcW w:w="2067" w:type="dxa"/>
            <w:vAlign w:val="center"/>
          </w:tcPr>
          <w:p w14:paraId="3962E4AC">
            <w:pPr>
              <w:pStyle w:val="19"/>
              <w:spacing w:line="276" w:lineRule="auto"/>
              <w:jc w:val="both"/>
              <w:rPr>
                <w:spacing w:val="17"/>
                <w:sz w:val="24"/>
                <w:szCs w:val="32"/>
              </w:rPr>
            </w:pPr>
          </w:p>
        </w:tc>
        <w:tc>
          <w:tcPr>
            <w:tcW w:w="2067" w:type="dxa"/>
            <w:vAlign w:val="center"/>
          </w:tcPr>
          <w:p w14:paraId="137A995A">
            <w:pPr>
              <w:pStyle w:val="19"/>
              <w:spacing w:line="276" w:lineRule="auto"/>
              <w:jc w:val="both"/>
              <w:rPr>
                <w:spacing w:val="17"/>
                <w:sz w:val="24"/>
                <w:szCs w:val="32"/>
              </w:rPr>
            </w:pPr>
          </w:p>
        </w:tc>
      </w:tr>
      <w:tr w14:paraId="5E007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35E06905">
            <w:pPr>
              <w:pStyle w:val="19"/>
              <w:spacing w:line="276" w:lineRule="auto"/>
              <w:jc w:val="center"/>
              <w:rPr>
                <w:rFonts w:ascii="宋体" w:hAnsi="宋体" w:eastAsia="宋体" w:cs="宋体"/>
                <w:sz w:val="21"/>
                <w:szCs w:val="21"/>
              </w:rPr>
            </w:pPr>
          </w:p>
        </w:tc>
        <w:tc>
          <w:tcPr>
            <w:tcW w:w="694" w:type="dxa"/>
            <w:vAlign w:val="center"/>
          </w:tcPr>
          <w:p w14:paraId="75B4E444">
            <w:pPr>
              <w:pStyle w:val="19"/>
              <w:spacing w:line="276" w:lineRule="auto"/>
              <w:jc w:val="center"/>
              <w:rPr>
                <w:rFonts w:hint="default" w:eastAsiaTheme="minorEastAsia"/>
                <w:lang w:val="en-US" w:eastAsia="zh-CN"/>
              </w:rPr>
            </w:pPr>
            <w:r>
              <w:rPr>
                <w:rFonts w:hint="eastAsia"/>
                <w:lang w:val="en-US" w:eastAsia="zh-CN"/>
              </w:rPr>
              <w:t>13</w:t>
            </w:r>
          </w:p>
        </w:tc>
        <w:tc>
          <w:tcPr>
            <w:tcW w:w="3030" w:type="dxa"/>
            <w:vAlign w:val="center"/>
          </w:tcPr>
          <w:p w14:paraId="14D37CC0">
            <w:pPr>
              <w:pStyle w:val="19"/>
              <w:spacing w:line="276" w:lineRule="auto"/>
              <w:jc w:val="both"/>
              <w:rPr>
                <w:rFonts w:hint="eastAsia" w:ascii="宋体" w:hAnsi="宋体"/>
                <w:sz w:val="21"/>
                <w:szCs w:val="21"/>
                <w:u w:val="none"/>
                <w:lang w:val="en-US" w:eastAsia="zh-CN"/>
              </w:rPr>
            </w:pPr>
            <w:r>
              <w:rPr>
                <w:spacing w:val="17"/>
                <w:sz w:val="24"/>
                <w:szCs w:val="32"/>
              </w:rPr>
              <w:t>正常运行时噪声≤60</w:t>
            </w:r>
            <w:r>
              <w:rPr>
                <w:sz w:val="24"/>
                <w:szCs w:val="32"/>
              </w:rPr>
              <w:t>dB</w:t>
            </w:r>
          </w:p>
        </w:tc>
        <w:tc>
          <w:tcPr>
            <w:tcW w:w="2067" w:type="dxa"/>
            <w:vAlign w:val="center"/>
          </w:tcPr>
          <w:p w14:paraId="5E85D913">
            <w:pPr>
              <w:pStyle w:val="19"/>
              <w:spacing w:line="276" w:lineRule="auto"/>
              <w:jc w:val="both"/>
              <w:rPr>
                <w:spacing w:val="17"/>
                <w:sz w:val="24"/>
                <w:szCs w:val="32"/>
              </w:rPr>
            </w:pPr>
          </w:p>
        </w:tc>
        <w:tc>
          <w:tcPr>
            <w:tcW w:w="2067" w:type="dxa"/>
            <w:vAlign w:val="center"/>
          </w:tcPr>
          <w:p w14:paraId="1307B975">
            <w:pPr>
              <w:pStyle w:val="19"/>
              <w:spacing w:line="276" w:lineRule="auto"/>
              <w:jc w:val="both"/>
              <w:rPr>
                <w:spacing w:val="17"/>
                <w:sz w:val="24"/>
                <w:szCs w:val="32"/>
              </w:rPr>
            </w:pPr>
          </w:p>
        </w:tc>
      </w:tr>
      <w:tr w14:paraId="00D76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3512767">
            <w:pPr>
              <w:pStyle w:val="19"/>
              <w:spacing w:line="276" w:lineRule="auto"/>
              <w:jc w:val="center"/>
              <w:rPr>
                <w:rFonts w:ascii="宋体" w:hAnsi="宋体" w:eastAsia="宋体" w:cs="宋体"/>
                <w:sz w:val="21"/>
                <w:szCs w:val="21"/>
              </w:rPr>
            </w:pPr>
          </w:p>
        </w:tc>
        <w:tc>
          <w:tcPr>
            <w:tcW w:w="694" w:type="dxa"/>
            <w:vAlign w:val="center"/>
          </w:tcPr>
          <w:p w14:paraId="302998C9">
            <w:pPr>
              <w:pStyle w:val="19"/>
              <w:spacing w:line="276" w:lineRule="auto"/>
              <w:jc w:val="center"/>
              <w:rPr>
                <w:rFonts w:hint="default" w:eastAsiaTheme="minorEastAsia"/>
                <w:lang w:val="en-US" w:eastAsia="zh-CN"/>
              </w:rPr>
            </w:pPr>
            <w:r>
              <w:rPr>
                <w:rFonts w:hint="eastAsia"/>
                <w:lang w:val="en-US" w:eastAsia="zh-CN"/>
              </w:rPr>
              <w:t>14</w:t>
            </w:r>
          </w:p>
        </w:tc>
        <w:tc>
          <w:tcPr>
            <w:tcW w:w="3030" w:type="dxa"/>
            <w:vAlign w:val="center"/>
          </w:tcPr>
          <w:p w14:paraId="3FB2D356">
            <w:pPr>
              <w:pStyle w:val="19"/>
              <w:spacing w:line="276" w:lineRule="auto"/>
              <w:jc w:val="both"/>
              <w:rPr>
                <w:rFonts w:hint="eastAsia" w:ascii="宋体" w:hAnsi="宋体"/>
                <w:sz w:val="21"/>
                <w:szCs w:val="21"/>
                <w:u w:val="none"/>
                <w:lang w:val="en-US" w:eastAsia="zh-CN"/>
              </w:rPr>
            </w:pPr>
            <w:r>
              <w:rPr>
                <w:spacing w:val="15"/>
                <w:sz w:val="24"/>
                <w:szCs w:val="32"/>
              </w:rPr>
              <w:t>具有实时显示管道自动消毒</w:t>
            </w:r>
            <w:r>
              <w:rPr>
                <w:spacing w:val="-52"/>
                <w:sz w:val="24"/>
                <w:szCs w:val="32"/>
              </w:rPr>
              <w:t xml:space="preserve"> </w:t>
            </w:r>
            <w:r>
              <w:rPr>
                <w:spacing w:val="17"/>
                <w:sz w:val="24"/>
                <w:szCs w:val="32"/>
              </w:rPr>
              <w:t>≤</w:t>
            </w:r>
            <w:r>
              <w:rPr>
                <w:rFonts w:hint="eastAsia"/>
                <w:spacing w:val="15"/>
                <w:sz w:val="24"/>
                <w:szCs w:val="32"/>
                <w:lang w:val="en-US" w:eastAsia="zh-CN"/>
              </w:rPr>
              <w:t>60</w:t>
            </w:r>
            <w:r>
              <w:rPr>
                <w:spacing w:val="15"/>
                <w:sz w:val="24"/>
                <w:szCs w:val="32"/>
              </w:rPr>
              <w:t>s倒计时功能</w:t>
            </w:r>
          </w:p>
        </w:tc>
        <w:tc>
          <w:tcPr>
            <w:tcW w:w="2067" w:type="dxa"/>
            <w:vAlign w:val="center"/>
          </w:tcPr>
          <w:p w14:paraId="2A2B3FE5">
            <w:pPr>
              <w:pStyle w:val="19"/>
              <w:spacing w:line="276" w:lineRule="auto"/>
              <w:jc w:val="both"/>
              <w:rPr>
                <w:spacing w:val="15"/>
                <w:sz w:val="24"/>
                <w:szCs w:val="32"/>
              </w:rPr>
            </w:pPr>
          </w:p>
        </w:tc>
        <w:tc>
          <w:tcPr>
            <w:tcW w:w="2067" w:type="dxa"/>
            <w:vAlign w:val="center"/>
          </w:tcPr>
          <w:p w14:paraId="191D933F">
            <w:pPr>
              <w:pStyle w:val="19"/>
              <w:spacing w:line="276" w:lineRule="auto"/>
              <w:jc w:val="both"/>
              <w:rPr>
                <w:spacing w:val="15"/>
                <w:sz w:val="24"/>
                <w:szCs w:val="32"/>
              </w:rPr>
            </w:pPr>
          </w:p>
        </w:tc>
      </w:tr>
      <w:tr w14:paraId="2404C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3AE3558D">
            <w:pPr>
              <w:pStyle w:val="19"/>
              <w:spacing w:line="276" w:lineRule="auto"/>
              <w:jc w:val="center"/>
              <w:rPr>
                <w:rFonts w:ascii="宋体" w:hAnsi="宋体" w:eastAsia="宋体" w:cs="宋体"/>
                <w:sz w:val="21"/>
                <w:szCs w:val="21"/>
              </w:rPr>
            </w:pPr>
            <w:r>
              <w:t>★</w:t>
            </w:r>
          </w:p>
        </w:tc>
        <w:tc>
          <w:tcPr>
            <w:tcW w:w="694" w:type="dxa"/>
            <w:vAlign w:val="center"/>
          </w:tcPr>
          <w:p w14:paraId="2CB7F3D5">
            <w:pPr>
              <w:pStyle w:val="19"/>
              <w:spacing w:line="276" w:lineRule="auto"/>
              <w:jc w:val="center"/>
              <w:rPr>
                <w:rFonts w:hint="default"/>
                <w:lang w:val="en-US" w:eastAsia="zh-CN"/>
              </w:rPr>
            </w:pPr>
            <w:r>
              <w:rPr>
                <w:rFonts w:hint="eastAsia"/>
                <w:lang w:val="en-US" w:eastAsia="zh-CN"/>
              </w:rPr>
              <w:t>15</w:t>
            </w:r>
          </w:p>
        </w:tc>
        <w:tc>
          <w:tcPr>
            <w:tcW w:w="3030" w:type="dxa"/>
            <w:vAlign w:val="center"/>
          </w:tcPr>
          <w:p w14:paraId="14574223">
            <w:pPr>
              <w:pStyle w:val="19"/>
              <w:spacing w:line="276" w:lineRule="auto"/>
              <w:jc w:val="both"/>
              <w:rPr>
                <w:spacing w:val="15"/>
                <w:sz w:val="24"/>
                <w:szCs w:val="32"/>
              </w:rPr>
            </w:pPr>
            <w:r>
              <w:rPr>
                <w:spacing w:val="15"/>
                <w:sz w:val="24"/>
                <w:szCs w:val="32"/>
              </w:rPr>
              <w:t>具有实时显示余液清除</w:t>
            </w:r>
            <w:r>
              <w:rPr>
                <w:spacing w:val="-45"/>
                <w:sz w:val="24"/>
                <w:szCs w:val="32"/>
              </w:rPr>
              <w:t xml:space="preserve"> </w:t>
            </w:r>
            <w:r>
              <w:rPr>
                <w:spacing w:val="17"/>
                <w:sz w:val="24"/>
                <w:szCs w:val="32"/>
              </w:rPr>
              <w:t>≤</w:t>
            </w:r>
            <w:r>
              <w:rPr>
                <w:rFonts w:hint="eastAsia"/>
                <w:spacing w:val="15"/>
                <w:sz w:val="24"/>
                <w:szCs w:val="32"/>
                <w:lang w:val="en-US" w:eastAsia="zh-CN"/>
              </w:rPr>
              <w:t>30</w:t>
            </w:r>
            <w:r>
              <w:rPr>
                <w:spacing w:val="15"/>
                <w:sz w:val="24"/>
                <w:szCs w:val="32"/>
              </w:rPr>
              <w:t>s倒计时功能</w:t>
            </w:r>
          </w:p>
        </w:tc>
        <w:tc>
          <w:tcPr>
            <w:tcW w:w="2067" w:type="dxa"/>
            <w:vAlign w:val="center"/>
          </w:tcPr>
          <w:p w14:paraId="54764E16">
            <w:pPr>
              <w:pStyle w:val="19"/>
              <w:spacing w:line="276" w:lineRule="auto"/>
              <w:jc w:val="both"/>
              <w:rPr>
                <w:spacing w:val="15"/>
                <w:sz w:val="24"/>
                <w:szCs w:val="32"/>
              </w:rPr>
            </w:pPr>
          </w:p>
        </w:tc>
        <w:tc>
          <w:tcPr>
            <w:tcW w:w="2067" w:type="dxa"/>
            <w:vAlign w:val="center"/>
          </w:tcPr>
          <w:p w14:paraId="792C31CC">
            <w:pPr>
              <w:pStyle w:val="19"/>
              <w:spacing w:line="276" w:lineRule="auto"/>
              <w:jc w:val="both"/>
              <w:rPr>
                <w:spacing w:val="15"/>
                <w:sz w:val="24"/>
                <w:szCs w:val="32"/>
              </w:rPr>
            </w:pPr>
          </w:p>
        </w:tc>
      </w:tr>
      <w:tr w14:paraId="44BA2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25D0E768">
            <w:pPr>
              <w:pStyle w:val="19"/>
              <w:spacing w:line="276" w:lineRule="auto"/>
              <w:jc w:val="center"/>
              <w:rPr>
                <w:rFonts w:ascii="宋体" w:hAnsi="宋体" w:eastAsia="宋体" w:cs="宋体"/>
                <w:sz w:val="21"/>
                <w:szCs w:val="21"/>
              </w:rPr>
            </w:pPr>
          </w:p>
        </w:tc>
        <w:tc>
          <w:tcPr>
            <w:tcW w:w="694" w:type="dxa"/>
            <w:vAlign w:val="center"/>
          </w:tcPr>
          <w:p w14:paraId="46C1A868">
            <w:pPr>
              <w:pStyle w:val="19"/>
              <w:spacing w:line="276" w:lineRule="auto"/>
              <w:jc w:val="center"/>
              <w:rPr>
                <w:rFonts w:hint="default" w:eastAsiaTheme="minorEastAsia"/>
                <w:lang w:val="en-US" w:eastAsia="zh-CN"/>
              </w:rPr>
            </w:pPr>
            <w:r>
              <w:rPr>
                <w:rFonts w:hint="eastAsia"/>
                <w:lang w:val="en-US" w:eastAsia="zh-CN"/>
              </w:rPr>
              <w:t>16</w:t>
            </w:r>
          </w:p>
        </w:tc>
        <w:tc>
          <w:tcPr>
            <w:tcW w:w="3030" w:type="dxa"/>
            <w:vAlign w:val="center"/>
          </w:tcPr>
          <w:p w14:paraId="51EE8C5B">
            <w:pPr>
              <w:pStyle w:val="19"/>
              <w:spacing w:line="276" w:lineRule="auto"/>
              <w:jc w:val="both"/>
              <w:rPr>
                <w:rFonts w:hint="eastAsia" w:ascii="宋体" w:hAnsi="宋体"/>
                <w:sz w:val="21"/>
                <w:szCs w:val="21"/>
                <w:u w:val="none"/>
                <w:lang w:val="en-US" w:eastAsia="zh-CN"/>
              </w:rPr>
            </w:pPr>
            <w:r>
              <w:rPr>
                <w:spacing w:val="15"/>
                <w:sz w:val="24"/>
                <w:szCs w:val="32"/>
              </w:rPr>
              <w:t>治疗时间设定：</w:t>
            </w:r>
            <w:r>
              <w:rPr>
                <w:spacing w:val="-54"/>
                <w:sz w:val="24"/>
                <w:szCs w:val="32"/>
              </w:rPr>
              <w:t xml:space="preserve"> </w:t>
            </w:r>
            <w:r>
              <w:rPr>
                <w:spacing w:val="15"/>
                <w:sz w:val="24"/>
                <w:szCs w:val="32"/>
              </w:rPr>
              <w:t>0-30</w:t>
            </w:r>
            <w:r>
              <w:rPr>
                <w:sz w:val="24"/>
                <w:szCs w:val="32"/>
              </w:rPr>
              <w:t>min</w:t>
            </w:r>
            <w:r>
              <w:rPr>
                <w:spacing w:val="15"/>
                <w:sz w:val="24"/>
                <w:szCs w:val="32"/>
              </w:rPr>
              <w:t>，步进1</w:t>
            </w:r>
            <w:r>
              <w:rPr>
                <w:sz w:val="24"/>
                <w:szCs w:val="32"/>
              </w:rPr>
              <w:t>min</w:t>
            </w:r>
            <w:r>
              <w:rPr>
                <w:spacing w:val="15"/>
                <w:sz w:val="24"/>
                <w:szCs w:val="32"/>
              </w:rPr>
              <w:t>的实时显示功能</w:t>
            </w:r>
          </w:p>
        </w:tc>
        <w:tc>
          <w:tcPr>
            <w:tcW w:w="2067" w:type="dxa"/>
            <w:vAlign w:val="center"/>
          </w:tcPr>
          <w:p w14:paraId="60BF2902">
            <w:pPr>
              <w:pStyle w:val="19"/>
              <w:spacing w:line="276" w:lineRule="auto"/>
              <w:jc w:val="both"/>
              <w:rPr>
                <w:spacing w:val="15"/>
                <w:sz w:val="24"/>
                <w:szCs w:val="32"/>
              </w:rPr>
            </w:pPr>
          </w:p>
        </w:tc>
        <w:tc>
          <w:tcPr>
            <w:tcW w:w="2067" w:type="dxa"/>
            <w:vAlign w:val="center"/>
          </w:tcPr>
          <w:p w14:paraId="0625F315">
            <w:pPr>
              <w:pStyle w:val="19"/>
              <w:spacing w:line="276" w:lineRule="auto"/>
              <w:jc w:val="both"/>
              <w:rPr>
                <w:spacing w:val="15"/>
                <w:sz w:val="24"/>
                <w:szCs w:val="32"/>
              </w:rPr>
            </w:pPr>
          </w:p>
        </w:tc>
      </w:tr>
      <w:tr w14:paraId="28F66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755FF97">
            <w:pPr>
              <w:pStyle w:val="19"/>
              <w:spacing w:line="276" w:lineRule="auto"/>
              <w:jc w:val="center"/>
            </w:pPr>
          </w:p>
        </w:tc>
        <w:tc>
          <w:tcPr>
            <w:tcW w:w="694" w:type="dxa"/>
            <w:vAlign w:val="center"/>
          </w:tcPr>
          <w:p w14:paraId="06CBFA26">
            <w:pPr>
              <w:pStyle w:val="19"/>
              <w:spacing w:line="276" w:lineRule="auto"/>
              <w:jc w:val="center"/>
              <w:rPr>
                <w:rFonts w:hint="default"/>
                <w:lang w:val="en-US" w:eastAsia="zh-CN"/>
              </w:rPr>
            </w:pPr>
            <w:r>
              <w:rPr>
                <w:rFonts w:hint="eastAsia"/>
                <w:lang w:val="en-US" w:eastAsia="zh-CN"/>
              </w:rPr>
              <w:t>17</w:t>
            </w:r>
          </w:p>
        </w:tc>
        <w:tc>
          <w:tcPr>
            <w:tcW w:w="3030" w:type="dxa"/>
            <w:vAlign w:val="center"/>
          </w:tcPr>
          <w:p w14:paraId="51078D5B">
            <w:pPr>
              <w:pStyle w:val="19"/>
              <w:spacing w:line="276" w:lineRule="auto"/>
              <w:jc w:val="both"/>
              <w:rPr>
                <w:rFonts w:hint="default" w:ascii="宋体" w:hAnsi="宋体"/>
                <w:sz w:val="21"/>
                <w:szCs w:val="21"/>
                <w:u w:val="none"/>
                <w:lang w:val="en-US" w:eastAsia="zh-CN"/>
              </w:rPr>
            </w:pPr>
            <w:r>
              <w:rPr>
                <w:spacing w:val="16"/>
                <w:sz w:val="24"/>
                <w:szCs w:val="32"/>
              </w:rPr>
              <w:t>控制面板上具有治疗时间快速按键</w:t>
            </w:r>
          </w:p>
        </w:tc>
        <w:tc>
          <w:tcPr>
            <w:tcW w:w="2067" w:type="dxa"/>
            <w:vAlign w:val="center"/>
          </w:tcPr>
          <w:p w14:paraId="1AC32D24">
            <w:pPr>
              <w:pStyle w:val="19"/>
              <w:spacing w:line="276" w:lineRule="auto"/>
              <w:jc w:val="both"/>
              <w:rPr>
                <w:spacing w:val="16"/>
                <w:sz w:val="24"/>
                <w:szCs w:val="32"/>
              </w:rPr>
            </w:pPr>
          </w:p>
        </w:tc>
        <w:tc>
          <w:tcPr>
            <w:tcW w:w="2067" w:type="dxa"/>
            <w:vAlign w:val="center"/>
          </w:tcPr>
          <w:p w14:paraId="3F28DFA4">
            <w:pPr>
              <w:pStyle w:val="19"/>
              <w:spacing w:line="276" w:lineRule="auto"/>
              <w:jc w:val="both"/>
              <w:rPr>
                <w:spacing w:val="16"/>
                <w:sz w:val="24"/>
                <w:szCs w:val="32"/>
              </w:rPr>
            </w:pPr>
          </w:p>
        </w:tc>
      </w:tr>
      <w:tr w14:paraId="69123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B215499">
            <w:pPr>
              <w:pStyle w:val="19"/>
              <w:spacing w:line="276" w:lineRule="auto"/>
              <w:jc w:val="center"/>
            </w:pPr>
          </w:p>
        </w:tc>
        <w:tc>
          <w:tcPr>
            <w:tcW w:w="694" w:type="dxa"/>
            <w:vAlign w:val="center"/>
          </w:tcPr>
          <w:p w14:paraId="5E85BCA0">
            <w:pPr>
              <w:pStyle w:val="19"/>
              <w:spacing w:line="276" w:lineRule="auto"/>
              <w:jc w:val="center"/>
              <w:rPr>
                <w:rFonts w:hint="default"/>
                <w:lang w:val="en-US" w:eastAsia="zh-CN"/>
              </w:rPr>
            </w:pPr>
            <w:r>
              <w:rPr>
                <w:rFonts w:hint="eastAsia"/>
                <w:lang w:val="en-US" w:eastAsia="zh-CN"/>
              </w:rPr>
              <w:t>18</w:t>
            </w:r>
          </w:p>
        </w:tc>
        <w:tc>
          <w:tcPr>
            <w:tcW w:w="3030" w:type="dxa"/>
            <w:vAlign w:val="center"/>
          </w:tcPr>
          <w:p w14:paraId="7D5FD858">
            <w:pPr>
              <w:pStyle w:val="19"/>
              <w:spacing w:line="276" w:lineRule="auto"/>
              <w:jc w:val="both"/>
              <w:rPr>
                <w:spacing w:val="16"/>
                <w:sz w:val="24"/>
                <w:szCs w:val="32"/>
              </w:rPr>
            </w:pPr>
            <w:r>
              <w:rPr>
                <w:spacing w:val="19"/>
                <w:sz w:val="24"/>
                <w:szCs w:val="32"/>
              </w:rPr>
              <w:t>设备具有实时</w:t>
            </w:r>
            <w:r>
              <w:rPr>
                <w:rFonts w:hint="eastAsia"/>
                <w:spacing w:val="19"/>
                <w:sz w:val="24"/>
                <w:szCs w:val="32"/>
                <w:lang w:val="en-US" w:eastAsia="zh-CN"/>
              </w:rPr>
              <w:t>显示治疗时间和治疗时间倒计时</w:t>
            </w:r>
            <w:r>
              <w:rPr>
                <w:spacing w:val="19"/>
                <w:sz w:val="24"/>
                <w:szCs w:val="32"/>
              </w:rPr>
              <w:t>功能</w:t>
            </w:r>
          </w:p>
        </w:tc>
        <w:tc>
          <w:tcPr>
            <w:tcW w:w="2067" w:type="dxa"/>
            <w:vAlign w:val="center"/>
          </w:tcPr>
          <w:p w14:paraId="5F7F27E4">
            <w:pPr>
              <w:pStyle w:val="19"/>
              <w:spacing w:line="276" w:lineRule="auto"/>
              <w:jc w:val="both"/>
              <w:rPr>
                <w:spacing w:val="19"/>
                <w:sz w:val="24"/>
                <w:szCs w:val="32"/>
              </w:rPr>
            </w:pPr>
          </w:p>
        </w:tc>
        <w:tc>
          <w:tcPr>
            <w:tcW w:w="2067" w:type="dxa"/>
            <w:vAlign w:val="center"/>
          </w:tcPr>
          <w:p w14:paraId="7E74E895">
            <w:pPr>
              <w:pStyle w:val="19"/>
              <w:spacing w:line="276" w:lineRule="auto"/>
              <w:jc w:val="both"/>
              <w:rPr>
                <w:spacing w:val="19"/>
                <w:sz w:val="24"/>
                <w:szCs w:val="32"/>
              </w:rPr>
            </w:pPr>
          </w:p>
        </w:tc>
      </w:tr>
      <w:tr w14:paraId="09A47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8854652">
            <w:pPr>
              <w:pStyle w:val="19"/>
              <w:spacing w:line="276" w:lineRule="auto"/>
              <w:jc w:val="center"/>
            </w:pPr>
          </w:p>
        </w:tc>
        <w:tc>
          <w:tcPr>
            <w:tcW w:w="694" w:type="dxa"/>
            <w:vAlign w:val="center"/>
          </w:tcPr>
          <w:p w14:paraId="3E50720B">
            <w:pPr>
              <w:pStyle w:val="19"/>
              <w:spacing w:line="276" w:lineRule="auto"/>
              <w:jc w:val="center"/>
              <w:rPr>
                <w:rFonts w:hint="default"/>
                <w:lang w:val="en-US" w:eastAsia="zh-CN"/>
              </w:rPr>
            </w:pPr>
            <w:r>
              <w:rPr>
                <w:rFonts w:hint="eastAsia"/>
                <w:lang w:val="en-US" w:eastAsia="zh-CN"/>
              </w:rPr>
              <w:t>19</w:t>
            </w:r>
          </w:p>
        </w:tc>
        <w:tc>
          <w:tcPr>
            <w:tcW w:w="3030" w:type="dxa"/>
            <w:vAlign w:val="center"/>
          </w:tcPr>
          <w:p w14:paraId="3B7D1AE1">
            <w:pPr>
              <w:pStyle w:val="19"/>
              <w:spacing w:line="276" w:lineRule="auto"/>
              <w:jc w:val="both"/>
              <w:rPr>
                <w:spacing w:val="16"/>
                <w:sz w:val="24"/>
                <w:szCs w:val="32"/>
              </w:rPr>
            </w:pPr>
            <w:r>
              <w:rPr>
                <w:sz w:val="24"/>
                <w:szCs w:val="32"/>
              </w:rPr>
              <w:t>水电分离</w:t>
            </w:r>
            <w:r>
              <w:rPr>
                <w:rFonts w:hint="eastAsia"/>
                <w:sz w:val="24"/>
                <w:szCs w:val="32"/>
                <w:lang w:val="en-US" w:eastAsia="zh-CN"/>
              </w:rPr>
              <w:t>设计</w:t>
            </w:r>
            <w:r>
              <w:rPr>
                <w:rFonts w:hint="eastAsia"/>
                <w:sz w:val="24"/>
                <w:szCs w:val="32"/>
                <w:lang w:eastAsia="zh-CN"/>
              </w:rPr>
              <w:t>，</w:t>
            </w:r>
            <w:r>
              <w:rPr>
                <w:sz w:val="24"/>
                <w:szCs w:val="32"/>
              </w:rPr>
              <w:t>安全的防漏电保护装置</w:t>
            </w:r>
            <w:r>
              <w:rPr>
                <w:rFonts w:hint="eastAsia"/>
                <w:sz w:val="24"/>
                <w:szCs w:val="32"/>
                <w:lang w:eastAsia="zh-CN"/>
              </w:rPr>
              <w:t>，</w:t>
            </w:r>
            <w:r>
              <w:rPr>
                <w:sz w:val="24"/>
                <w:szCs w:val="32"/>
              </w:rPr>
              <w:t>安全符合最新国际GB9706.1-2020标准要求</w:t>
            </w:r>
          </w:p>
        </w:tc>
        <w:tc>
          <w:tcPr>
            <w:tcW w:w="2067" w:type="dxa"/>
            <w:vAlign w:val="center"/>
          </w:tcPr>
          <w:p w14:paraId="6ECA34B8">
            <w:pPr>
              <w:pStyle w:val="19"/>
              <w:spacing w:line="276" w:lineRule="auto"/>
              <w:jc w:val="both"/>
              <w:rPr>
                <w:sz w:val="24"/>
                <w:szCs w:val="32"/>
              </w:rPr>
            </w:pPr>
          </w:p>
        </w:tc>
        <w:tc>
          <w:tcPr>
            <w:tcW w:w="2067" w:type="dxa"/>
            <w:vAlign w:val="center"/>
          </w:tcPr>
          <w:p w14:paraId="1A384EEE">
            <w:pPr>
              <w:pStyle w:val="19"/>
              <w:spacing w:line="276" w:lineRule="auto"/>
              <w:jc w:val="both"/>
              <w:rPr>
                <w:sz w:val="24"/>
                <w:szCs w:val="32"/>
              </w:rPr>
            </w:pPr>
          </w:p>
        </w:tc>
      </w:tr>
      <w:tr w14:paraId="3C10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C41F191">
            <w:pPr>
              <w:pStyle w:val="19"/>
              <w:spacing w:line="276" w:lineRule="auto"/>
              <w:jc w:val="center"/>
            </w:pPr>
          </w:p>
        </w:tc>
        <w:tc>
          <w:tcPr>
            <w:tcW w:w="694" w:type="dxa"/>
            <w:vAlign w:val="center"/>
          </w:tcPr>
          <w:p w14:paraId="42835509">
            <w:pPr>
              <w:pStyle w:val="19"/>
              <w:spacing w:line="276" w:lineRule="auto"/>
              <w:jc w:val="center"/>
              <w:rPr>
                <w:rFonts w:hint="default"/>
                <w:lang w:val="en-US" w:eastAsia="zh-CN"/>
              </w:rPr>
            </w:pPr>
            <w:r>
              <w:rPr>
                <w:rFonts w:hint="eastAsia"/>
                <w:lang w:val="en-US" w:eastAsia="zh-CN"/>
              </w:rPr>
              <w:t>20</w:t>
            </w:r>
          </w:p>
        </w:tc>
        <w:tc>
          <w:tcPr>
            <w:tcW w:w="3030" w:type="dxa"/>
            <w:vAlign w:val="center"/>
          </w:tcPr>
          <w:p w14:paraId="60DD4EB3">
            <w:pPr>
              <w:pStyle w:val="5"/>
              <w:spacing w:before="121" w:line="220" w:lineRule="auto"/>
              <w:rPr>
                <w:sz w:val="24"/>
                <w:szCs w:val="32"/>
              </w:rPr>
            </w:pPr>
            <w:r>
              <w:rPr>
                <w:spacing w:val="15"/>
                <w:sz w:val="24"/>
                <w:szCs w:val="32"/>
              </w:rPr>
              <w:t>安装方式：</w:t>
            </w:r>
            <w:r>
              <w:rPr>
                <w:spacing w:val="-66"/>
                <w:sz w:val="24"/>
                <w:szCs w:val="32"/>
              </w:rPr>
              <w:t xml:space="preserve"> </w:t>
            </w:r>
            <w:r>
              <w:rPr>
                <w:spacing w:val="15"/>
                <w:sz w:val="24"/>
                <w:szCs w:val="32"/>
              </w:rPr>
              <w:t>壁挂式安装方式</w:t>
            </w:r>
          </w:p>
        </w:tc>
        <w:tc>
          <w:tcPr>
            <w:tcW w:w="2067" w:type="dxa"/>
            <w:vAlign w:val="center"/>
          </w:tcPr>
          <w:p w14:paraId="3F4C11CE">
            <w:pPr>
              <w:pStyle w:val="5"/>
              <w:spacing w:before="121" w:line="220" w:lineRule="auto"/>
              <w:rPr>
                <w:spacing w:val="15"/>
                <w:sz w:val="24"/>
                <w:szCs w:val="32"/>
              </w:rPr>
            </w:pPr>
          </w:p>
        </w:tc>
        <w:tc>
          <w:tcPr>
            <w:tcW w:w="2067" w:type="dxa"/>
            <w:vAlign w:val="center"/>
          </w:tcPr>
          <w:p w14:paraId="7D5AFB33">
            <w:pPr>
              <w:pStyle w:val="5"/>
              <w:spacing w:before="121" w:line="220" w:lineRule="auto"/>
              <w:rPr>
                <w:spacing w:val="15"/>
                <w:sz w:val="24"/>
                <w:szCs w:val="32"/>
              </w:rPr>
            </w:pPr>
          </w:p>
        </w:tc>
      </w:tr>
      <w:tr w14:paraId="5BD32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CFE0988">
            <w:pPr>
              <w:pStyle w:val="19"/>
              <w:spacing w:line="276" w:lineRule="auto"/>
              <w:jc w:val="center"/>
            </w:pPr>
            <w:r>
              <w:t>★</w:t>
            </w:r>
          </w:p>
        </w:tc>
        <w:tc>
          <w:tcPr>
            <w:tcW w:w="694" w:type="dxa"/>
            <w:vAlign w:val="center"/>
          </w:tcPr>
          <w:p w14:paraId="7319BFE5">
            <w:pPr>
              <w:pStyle w:val="19"/>
              <w:spacing w:line="276" w:lineRule="auto"/>
              <w:jc w:val="center"/>
              <w:rPr>
                <w:rFonts w:hint="default"/>
                <w:lang w:val="en-US" w:eastAsia="zh-CN"/>
              </w:rPr>
            </w:pPr>
            <w:r>
              <w:rPr>
                <w:rFonts w:hint="eastAsia"/>
                <w:lang w:val="en-US" w:eastAsia="zh-CN"/>
              </w:rPr>
              <w:t>21</w:t>
            </w:r>
          </w:p>
        </w:tc>
        <w:tc>
          <w:tcPr>
            <w:tcW w:w="3030" w:type="dxa"/>
            <w:vAlign w:val="center"/>
          </w:tcPr>
          <w:p w14:paraId="0734E25C">
            <w:pPr>
              <w:pStyle w:val="19"/>
              <w:spacing w:line="276" w:lineRule="auto"/>
              <w:jc w:val="both"/>
              <w:rPr>
                <w:sz w:val="24"/>
                <w:szCs w:val="32"/>
              </w:rPr>
            </w:pPr>
            <w:r>
              <w:rPr>
                <w:spacing w:val="14"/>
                <w:sz w:val="24"/>
                <w:szCs w:val="32"/>
              </w:rPr>
              <w:t>设备使用年限</w:t>
            </w:r>
            <w:r>
              <w:rPr>
                <w:rFonts w:hint="eastAsia"/>
                <w:spacing w:val="14"/>
                <w:sz w:val="24"/>
                <w:szCs w:val="32"/>
                <w:lang w:val="en-US" w:eastAsia="zh-CN"/>
              </w:rPr>
              <w:t>≥</w:t>
            </w:r>
            <w:r>
              <w:rPr>
                <w:spacing w:val="-53"/>
                <w:sz w:val="24"/>
                <w:szCs w:val="32"/>
              </w:rPr>
              <w:t xml:space="preserve"> </w:t>
            </w:r>
            <w:r>
              <w:rPr>
                <w:spacing w:val="14"/>
                <w:sz w:val="24"/>
                <w:szCs w:val="32"/>
              </w:rPr>
              <w:t>8年</w:t>
            </w:r>
          </w:p>
        </w:tc>
        <w:tc>
          <w:tcPr>
            <w:tcW w:w="2067" w:type="dxa"/>
            <w:vAlign w:val="center"/>
          </w:tcPr>
          <w:p w14:paraId="3EFB481A">
            <w:pPr>
              <w:pStyle w:val="19"/>
              <w:spacing w:line="276" w:lineRule="auto"/>
              <w:jc w:val="both"/>
              <w:rPr>
                <w:spacing w:val="14"/>
                <w:sz w:val="24"/>
                <w:szCs w:val="32"/>
              </w:rPr>
            </w:pPr>
          </w:p>
        </w:tc>
        <w:tc>
          <w:tcPr>
            <w:tcW w:w="2067" w:type="dxa"/>
            <w:vAlign w:val="center"/>
          </w:tcPr>
          <w:p w14:paraId="14801D69">
            <w:pPr>
              <w:pStyle w:val="19"/>
              <w:spacing w:line="276" w:lineRule="auto"/>
              <w:jc w:val="both"/>
              <w:rPr>
                <w:spacing w:val="14"/>
                <w:sz w:val="24"/>
                <w:szCs w:val="32"/>
              </w:rPr>
            </w:pPr>
          </w:p>
        </w:tc>
      </w:tr>
      <w:tr w14:paraId="7588E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1869431">
            <w:pPr>
              <w:pStyle w:val="19"/>
              <w:spacing w:line="276" w:lineRule="auto"/>
              <w:jc w:val="center"/>
            </w:pPr>
            <w:r>
              <w:t>★</w:t>
            </w:r>
          </w:p>
        </w:tc>
        <w:tc>
          <w:tcPr>
            <w:tcW w:w="694" w:type="dxa"/>
            <w:vAlign w:val="center"/>
          </w:tcPr>
          <w:p w14:paraId="08FBF8D6">
            <w:pPr>
              <w:pStyle w:val="19"/>
              <w:spacing w:line="276" w:lineRule="auto"/>
              <w:jc w:val="center"/>
              <w:rPr>
                <w:rFonts w:hint="default"/>
                <w:lang w:val="en-US" w:eastAsia="zh-CN"/>
              </w:rPr>
            </w:pPr>
            <w:r>
              <w:rPr>
                <w:rFonts w:hint="eastAsia"/>
                <w:lang w:val="en-US" w:eastAsia="zh-CN"/>
              </w:rPr>
              <w:t>22</w:t>
            </w:r>
          </w:p>
        </w:tc>
        <w:tc>
          <w:tcPr>
            <w:tcW w:w="3030" w:type="dxa"/>
            <w:vAlign w:val="center"/>
          </w:tcPr>
          <w:p w14:paraId="0B86E4D4">
            <w:pPr>
              <w:pStyle w:val="19"/>
              <w:spacing w:line="276" w:lineRule="auto"/>
              <w:jc w:val="both"/>
              <w:rPr>
                <w:rFonts w:hint="default" w:eastAsiaTheme="minorEastAsia"/>
                <w:spacing w:val="14"/>
                <w:sz w:val="24"/>
                <w:szCs w:val="32"/>
                <w:lang w:val="en-US" w:eastAsia="zh-CN"/>
              </w:rPr>
            </w:pPr>
            <w:r>
              <w:rPr>
                <w:rFonts w:hint="eastAsia"/>
                <w:spacing w:val="14"/>
                <w:sz w:val="24"/>
                <w:szCs w:val="32"/>
                <w:lang w:val="en-US" w:eastAsia="zh-CN"/>
              </w:rPr>
              <w:t>保修3年</w:t>
            </w:r>
          </w:p>
        </w:tc>
        <w:tc>
          <w:tcPr>
            <w:tcW w:w="2067" w:type="dxa"/>
            <w:vAlign w:val="center"/>
          </w:tcPr>
          <w:p w14:paraId="11EA21D4">
            <w:pPr>
              <w:pStyle w:val="19"/>
              <w:spacing w:line="276" w:lineRule="auto"/>
              <w:jc w:val="both"/>
              <w:rPr>
                <w:rFonts w:hint="eastAsia"/>
                <w:spacing w:val="14"/>
                <w:sz w:val="24"/>
                <w:szCs w:val="32"/>
                <w:lang w:val="en-US" w:eastAsia="zh-CN"/>
              </w:rPr>
            </w:pPr>
          </w:p>
        </w:tc>
        <w:tc>
          <w:tcPr>
            <w:tcW w:w="2067" w:type="dxa"/>
            <w:vAlign w:val="center"/>
          </w:tcPr>
          <w:p w14:paraId="3EDE5930">
            <w:pPr>
              <w:pStyle w:val="19"/>
              <w:spacing w:line="276" w:lineRule="auto"/>
              <w:jc w:val="both"/>
              <w:rPr>
                <w:rFonts w:hint="eastAsia"/>
                <w:spacing w:val="14"/>
                <w:sz w:val="24"/>
                <w:szCs w:val="32"/>
                <w:lang w:val="en-US" w:eastAsia="zh-CN"/>
              </w:rPr>
            </w:pPr>
          </w:p>
        </w:tc>
      </w:tr>
    </w:tbl>
    <w:p w14:paraId="78C1A5CA">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44C1386"/>
    <w:rsid w:val="158A3B44"/>
    <w:rsid w:val="177F50ED"/>
    <w:rsid w:val="1C7F7983"/>
    <w:rsid w:val="2F1618A7"/>
    <w:rsid w:val="2FA72B64"/>
    <w:rsid w:val="3527495E"/>
    <w:rsid w:val="3AE51022"/>
    <w:rsid w:val="3CA40C65"/>
    <w:rsid w:val="417204CE"/>
    <w:rsid w:val="51373302"/>
    <w:rsid w:val="53B52B8D"/>
    <w:rsid w:val="608E37A7"/>
    <w:rsid w:val="658D448B"/>
    <w:rsid w:val="68770D32"/>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4607</Words>
  <Characters>4769</Characters>
  <Lines>66</Lines>
  <Paragraphs>107</Paragraphs>
  <TotalTime>0</TotalTime>
  <ScaleCrop>false</ScaleCrop>
  <LinksUpToDate>false</LinksUpToDate>
  <CharactersWithSpaces>4808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2025-08-19T03:10:26Z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